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colors9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charts/style9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id w:val="147472163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b/>
          <w:color w:val="auto"/>
          <w:kern w:val="2"/>
          <w:sz w:val="28"/>
          <w:szCs w:val="28"/>
          <w:lang w:val="en-US" w:eastAsia="zh-CN" w:bidi="ar-SA"/>
        </w:rPr>
      </w:sdtEndPr>
      <w:sdtContent>
        <w:p w14:paraId="0525EFE1">
          <w:pPr>
            <w:widowControl/>
            <w:ind w:firstLine="3080" w:firstLineChars="1100"/>
            <w:jc w:val="right"/>
            <w:rPr>
              <w:rFonts w:hint="eastAsia" w:ascii="宋体" w:hAnsi="宋体" w:eastAsia="宋体" w:cs="宋体"/>
              <w:b/>
              <w:bCs/>
              <w:color w:val="auto"/>
              <w:kern w:val="0"/>
              <w:sz w:val="36"/>
              <w:szCs w:val="36"/>
              <w:lang w:val="en-US" w:eastAsia="zh-CN"/>
            </w:rPr>
          </w:pPr>
        </w:p>
        <w:p w14:paraId="615D6203">
          <w:pPr>
            <w:widowControl/>
            <w:ind w:firstLine="3975" w:firstLineChars="1100"/>
            <w:jc w:val="right"/>
            <w:rPr>
              <w:rFonts w:hint="eastAsia" w:ascii="宋体" w:hAnsi="宋体" w:eastAsia="宋体" w:cs="宋体"/>
              <w:b/>
              <w:bCs/>
              <w:color w:val="auto"/>
              <w:kern w:val="0"/>
              <w:sz w:val="36"/>
              <w:szCs w:val="36"/>
              <w:lang w:val="en-US" w:eastAsia="zh-CN"/>
            </w:rPr>
          </w:pPr>
        </w:p>
        <w:p w14:paraId="589B14DB">
          <w:pPr>
            <w:widowControl/>
            <w:jc w:val="center"/>
            <w:rPr>
              <w:rFonts w:hint="eastAsia" w:ascii="宋体" w:hAnsi="宋体" w:eastAsia="宋体" w:cs="宋体"/>
              <w:b/>
              <w:bCs/>
              <w:color w:val="auto"/>
              <w:kern w:val="0"/>
              <w:sz w:val="36"/>
              <w:szCs w:val="36"/>
              <w:lang w:val="en-US" w:eastAsia="zh-CN"/>
            </w:rPr>
          </w:pPr>
          <w:r>
            <w:rPr>
              <w:rFonts w:hint="eastAsia" w:ascii="宋体" w:hAnsi="宋体" w:eastAsia="宋体" w:cs="宋体"/>
              <w:b/>
              <w:bCs/>
              <w:color w:val="auto"/>
              <w:kern w:val="0"/>
              <w:sz w:val="36"/>
              <w:szCs w:val="36"/>
              <w:lang w:val="en-US" w:eastAsia="zh-CN"/>
            </w:rPr>
            <w:drawing>
              <wp:inline distT="0" distB="0" distL="114300" distR="114300">
                <wp:extent cx="3096895" cy="3105785"/>
                <wp:effectExtent l="0" t="0" r="12065" b="3175"/>
                <wp:docPr id="33" name="图片 3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图片 33" descr="logo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6895" cy="3105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11BD6C6">
          <w:pPr>
            <w:widowControl/>
            <w:ind w:firstLine="3975" w:firstLineChars="1100"/>
            <w:jc w:val="right"/>
            <w:rPr>
              <w:rFonts w:hint="eastAsia" w:ascii="宋体" w:hAnsi="宋体" w:eastAsia="宋体" w:cs="宋体"/>
              <w:b/>
              <w:bCs/>
              <w:color w:val="auto"/>
              <w:kern w:val="0"/>
              <w:sz w:val="36"/>
              <w:szCs w:val="36"/>
              <w:lang w:val="en-US" w:eastAsia="zh-CN"/>
            </w:rPr>
          </w:pPr>
        </w:p>
        <w:p w14:paraId="7D8DA1D0">
          <w:pPr>
            <w:widowControl/>
            <w:jc w:val="both"/>
            <w:rPr>
              <w:rFonts w:hint="eastAsia" w:ascii="宋体" w:hAnsi="宋体" w:eastAsia="宋体" w:cs="宋体"/>
              <w:b/>
              <w:bCs/>
              <w:color w:val="auto"/>
              <w:kern w:val="0"/>
              <w:sz w:val="36"/>
              <w:szCs w:val="36"/>
              <w:lang w:val="en-US" w:eastAsia="zh-CN"/>
            </w:rPr>
          </w:pPr>
        </w:p>
        <w:p w14:paraId="3C7B1860">
          <w:pPr>
            <w:widowControl/>
            <w:ind w:firstLine="4417" w:firstLineChars="1100"/>
            <w:jc w:val="right"/>
            <w:rPr>
              <w:rFonts w:hint="eastAsia" w:ascii="宋体" w:hAnsi="宋体" w:eastAsia="宋体" w:cs="宋体"/>
              <w:b/>
              <w:bCs/>
              <w:color w:val="auto"/>
              <w:kern w:val="0"/>
              <w:sz w:val="40"/>
              <w:szCs w:val="40"/>
              <w:lang w:val="en-US" w:eastAsia="zh-CN"/>
            </w:rPr>
          </w:pPr>
          <w:r>
            <w:rPr>
              <w:rFonts w:hint="eastAsia" w:ascii="宋体" w:hAnsi="宋体" w:eastAsia="宋体" w:cs="宋体"/>
              <w:b/>
              <w:bCs/>
              <w:color w:val="auto"/>
              <w:kern w:val="0"/>
              <w:sz w:val="40"/>
              <w:szCs w:val="40"/>
              <w:lang w:val="en-US" w:eastAsia="zh-CN"/>
            </w:rPr>
            <w:t>武汉科技职业学院</w:t>
          </w:r>
        </w:p>
        <w:p w14:paraId="0A9DDC5F">
          <w:pPr>
            <w:widowControl/>
            <w:jc w:val="right"/>
            <w:rPr>
              <w:rFonts w:hint="eastAsia" w:ascii="宋体" w:hAnsi="宋体" w:eastAsia="宋体" w:cs="宋体"/>
              <w:b/>
              <w:bCs/>
              <w:color w:val="auto"/>
              <w:kern w:val="0"/>
              <w:sz w:val="40"/>
              <w:szCs w:val="40"/>
              <w:lang w:val="en-US" w:eastAsia="zh-CN"/>
            </w:rPr>
          </w:pPr>
          <w:r>
            <w:rPr>
              <w:rFonts w:hint="eastAsia" w:ascii="宋体" w:hAnsi="宋体" w:eastAsia="宋体" w:cs="宋体"/>
              <w:b/>
              <w:bCs/>
              <w:color w:val="auto"/>
              <w:kern w:val="0"/>
              <w:sz w:val="40"/>
              <w:szCs w:val="40"/>
              <w:lang w:val="en-US" w:eastAsia="zh-CN"/>
            </w:rPr>
            <w:t>2024届毕业生就业质量年度报告</w:t>
          </w:r>
        </w:p>
        <w:p w14:paraId="7B3FECC5">
          <w:pPr>
            <w:widowControl/>
            <w:jc w:val="right"/>
            <w:rPr>
              <w:rFonts w:hint="eastAsia" w:ascii="宋体" w:hAnsi="宋体" w:eastAsia="宋体" w:cs="宋体"/>
              <w:b/>
              <w:bCs/>
              <w:color w:val="auto"/>
              <w:kern w:val="0"/>
              <w:sz w:val="36"/>
              <w:szCs w:val="36"/>
              <w:lang w:val="en-US" w:eastAsia="zh-CN"/>
            </w:rPr>
          </w:pPr>
        </w:p>
        <w:p w14:paraId="79F76514">
          <w:pPr>
            <w:widowControl/>
            <w:jc w:val="right"/>
            <w:rPr>
              <w:rFonts w:hint="eastAsia" w:ascii="宋体" w:hAnsi="宋体" w:eastAsia="宋体" w:cs="宋体"/>
              <w:b/>
              <w:bCs/>
              <w:color w:val="auto"/>
              <w:kern w:val="0"/>
              <w:sz w:val="36"/>
              <w:szCs w:val="36"/>
              <w:lang w:val="en-US" w:eastAsia="zh-CN"/>
            </w:rPr>
          </w:pPr>
        </w:p>
        <w:p w14:paraId="1B05ED2D">
          <w:pPr>
            <w:widowControl/>
            <w:jc w:val="right"/>
            <w:rPr>
              <w:rFonts w:hint="eastAsia" w:ascii="宋体" w:hAnsi="宋体" w:eastAsia="宋体" w:cs="宋体"/>
              <w:b/>
              <w:bCs/>
              <w:color w:val="auto"/>
              <w:kern w:val="0"/>
              <w:sz w:val="36"/>
              <w:szCs w:val="36"/>
              <w:lang w:val="en-US" w:eastAsia="zh-CN"/>
            </w:rPr>
          </w:pPr>
        </w:p>
        <w:p w14:paraId="6B4E6F5B">
          <w:pPr>
            <w:widowControl/>
            <w:jc w:val="both"/>
            <w:rPr>
              <w:rFonts w:hint="eastAsia" w:ascii="宋体" w:hAnsi="宋体" w:eastAsia="宋体" w:cs="宋体"/>
              <w:b/>
              <w:bCs/>
              <w:color w:val="auto"/>
              <w:kern w:val="0"/>
              <w:sz w:val="36"/>
              <w:szCs w:val="36"/>
              <w:lang w:val="en-US" w:eastAsia="zh-CN"/>
            </w:rPr>
          </w:pPr>
        </w:p>
        <w:p w14:paraId="4020D02C">
          <w:pPr>
            <w:widowControl/>
            <w:wordWrap w:val="0"/>
            <w:jc w:val="right"/>
            <w:rPr>
              <w:rFonts w:hint="default" w:ascii="宋体" w:hAnsi="宋体" w:eastAsia="宋体" w:cs="宋体"/>
              <w:b w:val="0"/>
              <w:bCs w:val="0"/>
              <w:color w:val="auto"/>
              <w:kern w:val="0"/>
              <w:sz w:val="28"/>
              <w:szCs w:val="28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kern w:val="0"/>
              <w:sz w:val="28"/>
              <w:szCs w:val="28"/>
              <w:lang w:val="en-US" w:eastAsia="zh-CN"/>
            </w:rPr>
            <w:t xml:space="preserve">武汉科技职业学院  </w:t>
          </w:r>
        </w:p>
        <w:p w14:paraId="73E5855C">
          <w:pPr>
            <w:widowControl/>
            <w:wordWrap w:val="0"/>
            <w:jc w:val="right"/>
            <w:rPr>
              <w:rFonts w:hint="default" w:ascii="宋体" w:hAnsi="宋体" w:eastAsia="宋体" w:cs="宋体"/>
              <w:b w:val="0"/>
              <w:bCs w:val="0"/>
              <w:color w:val="auto"/>
              <w:kern w:val="0"/>
              <w:sz w:val="28"/>
              <w:szCs w:val="28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kern w:val="0"/>
              <w:sz w:val="28"/>
              <w:szCs w:val="28"/>
              <w:lang w:val="en-US" w:eastAsia="zh-CN"/>
            </w:rPr>
            <w:t xml:space="preserve">2024年11月    </w:t>
          </w:r>
        </w:p>
        <w:p w14:paraId="2893B285">
          <w:pPr>
            <w:widowControl/>
            <w:jc w:val="both"/>
            <w:rPr>
              <w:rFonts w:hint="eastAsia" w:ascii="宋体" w:hAnsi="宋体" w:eastAsia="宋体" w:cs="宋体"/>
              <w:b w:val="0"/>
              <w:bCs w:val="0"/>
              <w:color w:val="auto"/>
              <w:kern w:val="0"/>
              <w:sz w:val="28"/>
              <w:szCs w:val="28"/>
              <w:lang w:val="en-US" w:eastAsia="zh-CN"/>
            </w:rPr>
          </w:pPr>
        </w:p>
        <w:p w14:paraId="71221E99">
          <w:pPr>
            <w:widowControl/>
            <w:jc w:val="both"/>
            <w:rPr>
              <w:rFonts w:hint="default" w:ascii="宋体" w:hAnsi="宋体" w:eastAsia="宋体" w:cs="宋体"/>
              <w:b w:val="0"/>
              <w:bCs w:val="0"/>
              <w:color w:val="auto"/>
              <w:kern w:val="0"/>
              <w:sz w:val="28"/>
              <w:szCs w:val="28"/>
              <w:lang w:val="en-US" w:eastAsia="zh-CN"/>
            </w:rPr>
            <w:sectPr>
              <w:headerReference r:id="rId3" w:type="default"/>
              <w:footerReference r:id="rId4" w:type="default"/>
              <w:pgSz w:w="11906" w:h="16838"/>
              <w:pgMar w:top="1440" w:right="1800" w:bottom="1440" w:left="1800" w:header="851" w:footer="992" w:gutter="0"/>
              <w:pgNumType w:fmt="decimal"/>
              <w:cols w:space="425" w:num="1"/>
              <w:docGrid w:type="lines" w:linePitch="312" w:charSpace="0"/>
            </w:sectPr>
          </w:pPr>
        </w:p>
        <w:p w14:paraId="2310CF27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Style w:val="29"/>
              <w:rFonts w:hint="eastAsia"/>
              <w:color w:val="auto"/>
              <w:lang w:val="en-US" w:eastAsia="zh-CN"/>
            </w:rPr>
          </w:pPr>
        </w:p>
        <w:p w14:paraId="137E6458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Style w:val="29"/>
              <w:rFonts w:hint="eastAsia"/>
              <w:color w:val="auto"/>
              <w:lang w:val="en-US" w:eastAsia="zh-CN"/>
            </w:rPr>
          </w:pPr>
          <w:r>
            <w:rPr>
              <w:rStyle w:val="29"/>
              <w:rFonts w:hint="eastAsia"/>
              <w:color w:val="auto"/>
              <w:lang w:val="en-US" w:eastAsia="zh-CN"/>
            </w:rPr>
            <w:t>目  录</w:t>
          </w:r>
        </w:p>
        <w:p w14:paraId="2871DABA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宋体" w:hAnsi="宋体" w:eastAsia="宋体" w:cs="宋体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color w:val="auto"/>
              <w:sz w:val="24"/>
              <w:szCs w:val="24"/>
            </w:rPr>
            <w:instrText xml:space="preserve">TOC \o "1-2" \h \u </w:instrText>
          </w:r>
          <w:r>
            <w:rPr>
              <w:rFonts w:hint="eastAsia" w:ascii="宋体" w:hAnsi="宋体" w:eastAsia="宋体" w:cs="宋体"/>
              <w:color w:val="auto"/>
              <w:sz w:val="24"/>
              <w:szCs w:val="24"/>
            </w:rPr>
            <w:fldChar w:fldCharType="separate"/>
          </w:r>
        </w:p>
        <w:p w14:paraId="551C43D6">
          <w:pPr>
            <w:pStyle w:val="27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instrText xml:space="preserve"> HYPERLINK \l _Toc31329 </w:instrTex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  <w:lang w:val="en-US" w:eastAsia="zh-CN"/>
            </w:rPr>
            <w:t>第一章  学校概况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instrText xml:space="preserve"> PAGEREF _Toc31329 \h </w:instrTex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end"/>
          </w:r>
        </w:p>
        <w:p w14:paraId="19D6566B">
          <w:pPr>
            <w:pStyle w:val="27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instrText xml:space="preserve"> HYPERLINK \l _Toc15824 </w:instrTex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  <w:lang w:val="en-US" w:eastAsia="zh-CN"/>
            </w:rPr>
            <w:t>第二章  毕业生供需情况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instrText xml:space="preserve"> PAGEREF _Toc15824 \h </w:instrTex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end"/>
          </w:r>
        </w:p>
        <w:p w14:paraId="59B6038F">
          <w:pPr>
            <w:pStyle w:val="2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instrText xml:space="preserve"> HYPERLINK \l _Toc5838 </w:instrTex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>2.1毕业生总人数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instrText xml:space="preserve"> PAGEREF _Toc5838 \h </w:instrTex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end"/>
          </w:r>
        </w:p>
        <w:p w14:paraId="0BC06692">
          <w:pPr>
            <w:pStyle w:val="2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instrText xml:space="preserve"> HYPERLINK \l _Toc27622 </w:instrTex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>2.2院系专业分布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instrText xml:space="preserve"> PAGEREF _Toc27622 \h </w:instrTex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end"/>
          </w:r>
        </w:p>
        <w:p w14:paraId="661AD5F9">
          <w:pPr>
            <w:pStyle w:val="2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instrText xml:space="preserve"> HYPERLINK \l _Toc11927 </w:instrTex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>2.3生源结构分布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instrText xml:space="preserve"> PAGEREF _Toc11927 \h </w:instrTex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end"/>
          </w:r>
        </w:p>
        <w:p w14:paraId="28455E8B">
          <w:pPr>
            <w:pStyle w:val="2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instrText xml:space="preserve"> HYPERLINK \l _Toc14861 </w:instrTex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>2.4民族分布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instrText xml:space="preserve"> PAGEREF _Toc14861 \h </w:instrTex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>5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end"/>
          </w:r>
        </w:p>
        <w:p w14:paraId="55F34CF9">
          <w:pPr>
            <w:pStyle w:val="27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instrText xml:space="preserve"> HYPERLINK \l _Toc1625 </w:instrTex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>第三章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 xml:space="preserve"> 毕业生就业情况及分析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instrText xml:space="preserve"> PAGEREF _Toc1625 \h </w:instrTex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>6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end"/>
          </w:r>
        </w:p>
        <w:p w14:paraId="22842B8E">
          <w:pPr>
            <w:pStyle w:val="2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instrText xml:space="preserve"> HYPERLINK \l _Toc18852 </w:instrTex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>3.1就业率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instrText xml:space="preserve"> PAGEREF _Toc18852 \h </w:instrTex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>6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end"/>
          </w:r>
        </w:p>
        <w:p w14:paraId="611EA398">
          <w:pPr>
            <w:pStyle w:val="2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instrText xml:space="preserve"> HYPERLINK \l _Toc22350 </w:instrTex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>3.2就业流向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instrText xml:space="preserve"> PAGEREF _Toc22350 \h </w:instrTex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>7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end"/>
          </w:r>
        </w:p>
        <w:p w14:paraId="45A609CE">
          <w:pPr>
            <w:pStyle w:val="2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instrText xml:space="preserve"> HYPERLINK \l _Toc29287 </w:instrTex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>3.3就业质量分析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instrText xml:space="preserve"> PAGEREF _Toc29287 \h </w:instrTex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>9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end"/>
          </w:r>
        </w:p>
        <w:p w14:paraId="191811AD">
          <w:pPr>
            <w:pStyle w:val="27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instrText xml:space="preserve"> HYPERLINK \l _Toc9763 </w:instrTex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>第四章  学校人才培养工作基本情况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instrText xml:space="preserve"> PAGEREF _Toc9763 \h </w:instrTex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>11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fldChar w:fldCharType="end"/>
          </w:r>
        </w:p>
        <w:p w14:paraId="6404316C">
          <w:pPr>
            <w:rPr>
              <w:rFonts w:hint="eastAsia" w:ascii="宋体" w:hAnsi="宋体" w:eastAsia="宋体" w:cs="宋体"/>
              <w:b/>
              <w:color w:val="auto"/>
              <w:sz w:val="28"/>
              <w:szCs w:val="28"/>
            </w:rPr>
          </w:pPr>
          <w:r>
            <w:rPr>
              <w:rFonts w:hint="eastAsia" w:ascii="宋体" w:hAnsi="宋体" w:eastAsia="宋体" w:cs="宋体"/>
              <w:b/>
              <w:color w:val="auto"/>
              <w:sz w:val="24"/>
              <w:szCs w:val="24"/>
            </w:rPr>
            <w:br w:type="page"/>
          </w:r>
          <w:r>
            <w:rPr>
              <w:rFonts w:hint="eastAsia" w:ascii="宋体" w:hAnsi="宋体" w:eastAsia="宋体" w:cs="宋体"/>
              <w:b/>
              <w:color w:val="auto"/>
              <w:sz w:val="24"/>
              <w:szCs w:val="24"/>
            </w:rPr>
            <w:fldChar w:fldCharType="end"/>
          </w:r>
        </w:p>
        <w:p w14:paraId="4BB28E53">
          <w:pPr>
            <w:pStyle w:val="2"/>
            <w:bidi w:val="0"/>
            <w:rPr>
              <w:rFonts w:hint="eastAsia"/>
              <w:color w:val="auto"/>
              <w:lang w:val="en-US" w:eastAsia="zh-CN"/>
            </w:rPr>
            <w:sectPr>
              <w:footerReference r:id="rId5" w:type="default"/>
              <w:pgSz w:w="11906" w:h="16838"/>
              <w:pgMar w:top="1440" w:right="1800" w:bottom="1440" w:left="1800" w:header="851" w:footer="992" w:gutter="0"/>
              <w:pgNumType w:fmt="decimal" w:start="1"/>
              <w:cols w:space="425" w:num="1"/>
              <w:docGrid w:type="lines" w:linePitch="312" w:charSpace="0"/>
            </w:sectPr>
          </w:pPr>
        </w:p>
        <w:p w14:paraId="7A16D7F5">
          <w:pPr>
            <w:outlineLvl w:val="3"/>
            <w:rPr>
              <w:color w:val="auto"/>
            </w:rPr>
          </w:pPr>
          <w:bookmarkStart w:id="0" w:name="_Toc4664"/>
          <w:bookmarkStart w:id="1" w:name="_Toc31329"/>
        </w:p>
      </w:sdtContent>
    </w:sdt>
    <w:p w14:paraId="1F1439B0">
      <w:pPr>
        <w:pStyle w:val="2"/>
        <w:bidi w:val="0"/>
        <w:rPr>
          <w:color w:val="auto"/>
        </w:rPr>
      </w:pPr>
      <w:r>
        <w:rPr>
          <w:rFonts w:hint="eastAsia"/>
          <w:color w:val="auto"/>
          <w:lang w:val="en-US" w:eastAsia="zh-CN"/>
        </w:rPr>
        <w:t>图表目录</w:t>
      </w:r>
      <w:r>
        <w:rPr>
          <w:rFonts w:hint="eastAsia"/>
          <w:color w:val="auto"/>
          <w:lang w:val="en-US" w:eastAsia="zh-CN"/>
        </w:rPr>
        <w:fldChar w:fldCharType="begin"/>
      </w:r>
      <w:r>
        <w:rPr>
          <w:rFonts w:hint="eastAsia"/>
          <w:color w:val="auto"/>
          <w:lang w:val="en-US" w:eastAsia="zh-CN"/>
        </w:rPr>
        <w:instrText xml:space="preserve">TOC \h \c "图"</w:instrText>
      </w:r>
      <w:r>
        <w:rPr>
          <w:rFonts w:hint="eastAsia"/>
          <w:color w:val="auto"/>
          <w:lang w:val="en-US" w:eastAsia="zh-CN"/>
        </w:rPr>
        <w:fldChar w:fldCharType="separate"/>
      </w:r>
    </w:p>
    <w:p w14:paraId="56905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/>
          <w:color w:val="auto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instrText xml:space="preserve">TOC \h \c "图"</w:instrTex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separate"/>
      </w:r>
    </w:p>
    <w:p w14:paraId="60CB643A">
      <w:pPr>
        <w:pStyle w:val="14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instrText xml:space="preserve"> HYPERLINK \l _Toc17074 </w:instrTex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图 1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  武汉科技职业学院2024届毕业生性别分布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_Toc17074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end"/>
      </w:r>
    </w:p>
    <w:p w14:paraId="0E31E893">
      <w:pPr>
        <w:pStyle w:val="14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instrText xml:space="preserve"> HYPERLINK \l _Toc16718 </w:instrTex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图 2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  武汉科技职业学院2024届毕业生的生源地分布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_Toc16718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end"/>
      </w:r>
    </w:p>
    <w:p w14:paraId="4F1446CF">
      <w:pPr>
        <w:pStyle w:val="14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instrText xml:space="preserve"> HYPERLINK \l _Toc27613 </w:instrTex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图 3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  武汉科技职业学院2024届毕业生民族占比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_Toc27613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end"/>
      </w:r>
    </w:p>
    <w:p w14:paraId="615C009B">
      <w:pPr>
        <w:pStyle w:val="14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instrText xml:space="preserve"> HYPERLINK \l _Toc7391 </w:instrTex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图 4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  武汉科技职业学院2024届毕业生就业率构成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_Toc7391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end"/>
      </w:r>
    </w:p>
    <w:p w14:paraId="65145D97">
      <w:pPr>
        <w:pStyle w:val="14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instrText xml:space="preserve"> HYPERLINK \l _Toc28212 </w:instrTex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图 5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  武汉科技职业学院2024届毕业生未就业调查统计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_Toc28212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end"/>
      </w:r>
    </w:p>
    <w:p w14:paraId="703E1909">
      <w:pPr>
        <w:pStyle w:val="14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instrText xml:space="preserve"> HYPERLINK \l _Toc12112 </w:instrTex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图 6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  武汉科技职业学院2024 届毕业生就业区域分布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_Toc12112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end"/>
      </w:r>
    </w:p>
    <w:p w14:paraId="1E7DF9C8">
      <w:pPr>
        <w:pStyle w:val="14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instrText xml:space="preserve"> HYPERLINK \l _Toc26084 </w:instrTex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图 7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  武汉科技职业学院2024届毕业生就业单位性质分布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_Toc26084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end"/>
      </w:r>
    </w:p>
    <w:p w14:paraId="10413D71">
      <w:pPr>
        <w:pStyle w:val="14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instrText xml:space="preserve"> HYPERLINK \l _Toc29939 </w:instrTex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图 8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  武汉科技职业学院2024届毕业生收入水平调查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_Toc29939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end"/>
      </w:r>
    </w:p>
    <w:p w14:paraId="70C9A510">
      <w:pPr>
        <w:pStyle w:val="14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instrText xml:space="preserve"> HYPERLINK \l _Toc9579 </w:instrTex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图 9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  武汉科技职业学院2024届毕业生就业满意度调查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_Toc9579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end"/>
      </w:r>
    </w:p>
    <w:p w14:paraId="3C678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end"/>
      </w:r>
    </w:p>
    <w:p w14:paraId="609A5426">
      <w:pPr>
        <w:pStyle w:val="14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instrText xml:space="preserve">TOC \h \c "表"</w:instrTex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instrText xml:space="preserve"> HYPERLINK \l _Toc11282 </w:instrTex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表 1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  武汉科技职业学院2024届毕业生院系专业分布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_Toc11282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end"/>
      </w:r>
    </w:p>
    <w:p w14:paraId="0328E8FE">
      <w:pPr>
        <w:pStyle w:val="14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instrText xml:space="preserve"> HYPERLINK \l _Toc31094 </w:instrTex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表 2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  武汉科技职业学院2024届毕业生就业单位行业分布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_Toc31094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end"/>
      </w:r>
    </w:p>
    <w:p w14:paraId="4D2F9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end"/>
      </w:r>
    </w:p>
    <w:p w14:paraId="23C55A5B">
      <w:pPr>
        <w:pStyle w:val="2"/>
        <w:bidi w:val="0"/>
        <w:rPr>
          <w:rFonts w:hint="eastAsia"/>
          <w:color w:val="auto"/>
          <w:lang w:val="en-US" w:eastAsia="zh-CN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1F51CEC7">
      <w:pPr>
        <w:pStyle w:val="2"/>
        <w:bidi w:val="0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第一章  学校概况</w:t>
      </w:r>
      <w:bookmarkEnd w:id="0"/>
      <w:bookmarkEnd w:id="1"/>
    </w:p>
    <w:p w14:paraId="7A7BD06D">
      <w:pPr>
        <w:ind w:firstLine="560" w:firstLineChars="200"/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武汉科技职业学院是一所以铁路、城市轨道交通为特色，新技术、智能制造为发展方向，工、经、管、文等专业协调发展的高校。</w:t>
      </w:r>
    </w:p>
    <w:p w14:paraId="0371897D">
      <w:pPr>
        <w:ind w:firstLine="560" w:firstLineChars="200"/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武汉科技职业学院是2002年经湖北省人民政府批准、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在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国家教育部备案成立的一所普通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全日制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高等职业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院校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。自成立以来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学校全面贯彻党的教育方针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紧紧围绕社会经济发展和产业结构调整的实际需求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以立德树人为根本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任务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、服务发展为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首要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宗旨、促进就业为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基本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导向、增强学生就业创业能力为核心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业务，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主动适应经济发展新常态和技术技能人才成长成才需要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；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逐步形成了以铁路、城市轨道交通为特色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新技术、智能制造为发展方向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工、经、管、文等专业协调发展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并与区域经济社会发展紧密结合的专业群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，目前学院已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初具办学特色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享有良好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的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社会声誉。</w:t>
      </w:r>
    </w:p>
    <w:p w14:paraId="2F49ADBE">
      <w:pPr>
        <w:widowControl/>
        <w:ind w:firstLine="562" w:firstLineChars="200"/>
        <w:jc w:val="left"/>
        <w:rPr>
          <w:rFonts w:ascii="宋体" w:hAnsi="宋体" w:eastAsia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先进的办学理念</w:t>
      </w:r>
    </w:p>
    <w:p w14:paraId="4F3DC018">
      <w:pPr>
        <w:widowControl/>
        <w:ind w:firstLine="560" w:firstLineChars="200"/>
        <w:jc w:val="left"/>
        <w:rPr>
          <w:rFonts w:ascii="宋体" w:hAnsi="宋体" w:eastAsia="宋体" w:cs="宋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学院将坚持“内涵、特色、效益”的总体发展战略，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立足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“不求规模，但求特色”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的发展策略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，走“质量和特色”之路；牢固树立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创新、协调、绿色、开放、共享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的发展理念；以创新教育思想、优化办学思维模式为主线，以服务产业发展为宗旨，以促进就业为导向；坚持适应市场需求、产教融合发展、创新体制机制的原则，进一步强化教学的中心地位，着力培养学生综合职业能力和就业竞争力，把学院发展引导到“做精做强、办出特色”的轨道上来；着力把学院建设成为一所从教者敬业、乐业，就学者宜学、乐学，社会企业满意，并在区域人才培养上有突出贡献的综合性高职院校。</w:t>
      </w:r>
    </w:p>
    <w:p w14:paraId="0A4545EA">
      <w:pPr>
        <w:widowControl/>
        <w:ind w:firstLine="562" w:firstLineChars="200"/>
        <w:jc w:val="left"/>
        <w:rPr>
          <w:rFonts w:ascii="宋体" w:hAnsi="宋体" w:eastAsia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良好的教学环境设施</w:t>
      </w:r>
    </w:p>
    <w:p w14:paraId="5C8F91C9">
      <w:pPr>
        <w:widowControl/>
        <w:ind w:firstLine="560" w:firstLineChars="200"/>
        <w:jc w:val="left"/>
        <w:rPr>
          <w:rFonts w:ascii="宋体" w:hAnsi="宋体" w:eastAsia="宋体" w:cs="宋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学校位于九省通衢的武汉市，坐落在二环之内的铁机村，紧邻风景秀丽的东湖。校园占地面积</w:t>
      </w:r>
      <w:r>
        <w:rPr>
          <w:rFonts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130265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平方米，建筑面积</w:t>
      </w:r>
      <w:r>
        <w:rPr>
          <w:rFonts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72555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平方米，教学行政用房面积</w:t>
      </w:r>
      <w:r>
        <w:rPr>
          <w:rFonts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38709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平方米。拥有各类实验实训室</w:t>
      </w:r>
      <w:r>
        <w:rPr>
          <w:rFonts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15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个，配置教学用计算机</w:t>
      </w:r>
      <w:r>
        <w:rPr>
          <w:rFonts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470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台、教学仪器设备</w:t>
      </w:r>
      <w:r>
        <w:rPr>
          <w:rFonts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668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台（套），教学仪器设备值总计</w:t>
      </w:r>
      <w:r>
        <w:rPr>
          <w:rFonts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860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余万元，图书馆藏书</w:t>
      </w:r>
      <w:r>
        <w:rPr>
          <w:rFonts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16.1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万册、电子图书</w:t>
      </w:r>
      <w:r>
        <w:rPr>
          <w:rFonts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6GB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，多媒体教室、语音室有</w:t>
      </w:r>
      <w:r>
        <w:rPr>
          <w:rFonts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957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个座位，校园网能满足学院教学工作和学习及现代网络服务的需要，各项教学基础设施逐步完善。</w:t>
      </w:r>
    </w:p>
    <w:p w14:paraId="21B4620E"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br w:type="page"/>
      </w:r>
    </w:p>
    <w:p w14:paraId="645F5CD4">
      <w:pPr>
        <w:pStyle w:val="2"/>
        <w:bidi w:val="0"/>
        <w:rPr>
          <w:rFonts w:hint="eastAsia"/>
          <w:color w:val="auto"/>
          <w:lang w:eastAsia="zh-CN"/>
        </w:rPr>
      </w:pPr>
      <w:bookmarkStart w:id="2" w:name="_Toc16573"/>
      <w:bookmarkStart w:id="3" w:name="_Toc31661"/>
      <w:bookmarkStart w:id="4" w:name="_Toc15824"/>
      <w:r>
        <w:rPr>
          <w:rFonts w:hint="eastAsia"/>
          <w:color w:val="auto"/>
          <w:lang w:val="en-US" w:eastAsia="zh-CN"/>
        </w:rPr>
        <w:t>第二章  毕业生供需情况</w:t>
      </w:r>
      <w:bookmarkEnd w:id="2"/>
      <w:bookmarkEnd w:id="3"/>
      <w:bookmarkEnd w:id="4"/>
    </w:p>
    <w:p w14:paraId="787DAD72">
      <w:pPr>
        <w:pStyle w:val="3"/>
        <w:bidi w:val="0"/>
        <w:rPr>
          <w:color w:val="auto"/>
        </w:rPr>
      </w:pPr>
      <w:bookmarkStart w:id="5" w:name="_Toc5838"/>
      <w:bookmarkStart w:id="6" w:name="_Toc19667"/>
      <w:bookmarkStart w:id="7" w:name="_Toc31070"/>
      <w:r>
        <w:rPr>
          <w:rFonts w:hint="eastAsia"/>
          <w:color w:val="auto"/>
        </w:rPr>
        <w:t>2.</w:t>
      </w:r>
      <w:r>
        <w:rPr>
          <w:color w:val="auto"/>
        </w:rPr>
        <w:t>1</w:t>
      </w:r>
      <w:r>
        <w:rPr>
          <w:rFonts w:hint="eastAsia"/>
          <w:color w:val="auto"/>
        </w:rPr>
        <w:t>毕业生总人数</w:t>
      </w:r>
      <w:bookmarkEnd w:id="5"/>
      <w:bookmarkEnd w:id="6"/>
      <w:bookmarkEnd w:id="7"/>
    </w:p>
    <w:p w14:paraId="40BC0378">
      <w:pPr>
        <w:ind w:firstLine="570"/>
        <w:jc w:val="left"/>
        <w:rPr>
          <w:rFonts w:hint="eastAsia" w:asciiTheme="minorEastAsia" w:hAnsi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color w:val="auto"/>
          <w:sz w:val="28"/>
          <w:szCs w:val="28"/>
        </w:rPr>
        <w:t>武汉科技职业</w:t>
      </w:r>
      <w:r>
        <w:rPr>
          <w:rFonts w:hint="eastAsia" w:asciiTheme="minorEastAsia" w:hAnsiTheme="minorEastAsia"/>
          <w:b w:val="0"/>
          <w:bCs w:val="0"/>
          <w:color w:val="auto"/>
          <w:sz w:val="28"/>
          <w:szCs w:val="28"/>
          <w:lang w:val="en-US" w:eastAsia="zh-CN"/>
        </w:rPr>
        <w:t>学院</w:t>
      </w:r>
      <w:r>
        <w:rPr>
          <w:rFonts w:hint="eastAsia" w:asciiTheme="minorEastAsia" w:hAnsiTheme="minorEastAsia"/>
          <w:b w:val="0"/>
          <w:bCs w:val="0"/>
          <w:color w:val="auto"/>
          <w:sz w:val="28"/>
          <w:szCs w:val="28"/>
          <w:lang w:eastAsia="zh-CN"/>
        </w:rPr>
        <w:t>202</w:t>
      </w:r>
      <w:r>
        <w:rPr>
          <w:rFonts w:hint="eastAsia" w:asciiTheme="minorEastAsia" w:hAnsiTheme="minorEastAsia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b w:val="0"/>
          <w:bCs w:val="0"/>
          <w:color w:val="auto"/>
          <w:sz w:val="28"/>
          <w:szCs w:val="28"/>
        </w:rPr>
        <w:t>届专科毕业生共计有</w:t>
      </w:r>
      <w:r>
        <w:rPr>
          <w:rFonts w:hint="eastAsia" w:asciiTheme="minorEastAsia" w:hAnsiTheme="minorEastAsia"/>
          <w:b w:val="0"/>
          <w:bCs w:val="0"/>
          <w:color w:val="auto"/>
          <w:sz w:val="28"/>
          <w:szCs w:val="28"/>
          <w:lang w:val="en-US" w:eastAsia="zh-CN"/>
        </w:rPr>
        <w:t>735</w:t>
      </w:r>
      <w:r>
        <w:rPr>
          <w:rFonts w:hint="eastAsia" w:asciiTheme="minorEastAsia" w:hAnsiTheme="minorEastAsia"/>
          <w:b w:val="0"/>
          <w:bCs w:val="0"/>
          <w:color w:val="auto"/>
          <w:sz w:val="28"/>
          <w:szCs w:val="28"/>
        </w:rPr>
        <w:t>人，其中男生</w:t>
      </w:r>
      <w:r>
        <w:rPr>
          <w:rFonts w:hint="eastAsia" w:asciiTheme="minorEastAsia" w:hAnsiTheme="minorEastAsia"/>
          <w:b w:val="0"/>
          <w:bCs w:val="0"/>
          <w:color w:val="auto"/>
          <w:sz w:val="28"/>
          <w:szCs w:val="28"/>
          <w:lang w:val="en-US" w:eastAsia="zh-CN"/>
        </w:rPr>
        <w:t>594</w:t>
      </w:r>
      <w:r>
        <w:rPr>
          <w:rFonts w:hint="eastAsia" w:asciiTheme="minorEastAsia" w:hAnsiTheme="minorEastAsia"/>
          <w:b w:val="0"/>
          <w:bCs w:val="0"/>
          <w:color w:val="auto"/>
          <w:sz w:val="28"/>
          <w:szCs w:val="28"/>
        </w:rPr>
        <w:t>人，占毕业生总人数的</w:t>
      </w:r>
      <w:r>
        <w:rPr>
          <w:rFonts w:hint="eastAsia" w:asciiTheme="minorEastAsia" w:hAnsiTheme="minorEastAsia"/>
          <w:b w:val="0"/>
          <w:bCs w:val="0"/>
          <w:color w:val="auto"/>
          <w:sz w:val="28"/>
          <w:szCs w:val="28"/>
          <w:lang w:val="en-US" w:eastAsia="zh-CN"/>
        </w:rPr>
        <w:t>80.82%</w:t>
      </w:r>
      <w:r>
        <w:rPr>
          <w:rFonts w:hint="eastAsia" w:asciiTheme="minorEastAsia" w:hAnsiTheme="minorEastAsia"/>
          <w:b w:val="0"/>
          <w:bCs w:val="0"/>
          <w:color w:val="auto"/>
          <w:sz w:val="28"/>
          <w:szCs w:val="28"/>
        </w:rPr>
        <w:t>；女生</w:t>
      </w:r>
      <w:r>
        <w:rPr>
          <w:rFonts w:hint="eastAsia" w:asciiTheme="minorEastAsia" w:hAnsiTheme="minorEastAsia"/>
          <w:b w:val="0"/>
          <w:bCs w:val="0"/>
          <w:color w:val="auto"/>
          <w:sz w:val="28"/>
          <w:szCs w:val="28"/>
          <w:lang w:val="en-US" w:eastAsia="zh-CN"/>
        </w:rPr>
        <w:t>141</w:t>
      </w:r>
      <w:r>
        <w:rPr>
          <w:rFonts w:hint="eastAsia" w:asciiTheme="minorEastAsia" w:hAnsiTheme="minorEastAsia"/>
          <w:b w:val="0"/>
          <w:bCs w:val="0"/>
          <w:color w:val="auto"/>
          <w:sz w:val="28"/>
          <w:szCs w:val="28"/>
        </w:rPr>
        <w:t>人，占毕业生总人数的</w:t>
      </w:r>
      <w:r>
        <w:rPr>
          <w:rFonts w:hint="eastAsia" w:asciiTheme="minorEastAsia" w:hAnsiTheme="minorEastAsia"/>
          <w:b w:val="0"/>
          <w:bCs w:val="0"/>
          <w:color w:val="auto"/>
          <w:sz w:val="28"/>
          <w:szCs w:val="28"/>
          <w:lang w:val="en-US" w:eastAsia="zh-CN"/>
        </w:rPr>
        <w:t>19.18%</w:t>
      </w:r>
      <w:r>
        <w:rPr>
          <w:rFonts w:hint="eastAsia" w:asciiTheme="minorEastAsia" w:hAnsiTheme="minorEastAsia"/>
          <w:b w:val="0"/>
          <w:bCs w:val="0"/>
          <w:color w:val="auto"/>
          <w:sz w:val="28"/>
          <w:szCs w:val="28"/>
        </w:rPr>
        <w:t>。</w:t>
      </w:r>
    </w:p>
    <w:p w14:paraId="0211D69A">
      <w:pPr>
        <w:ind w:firstLine="570"/>
        <w:jc w:val="left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4826000" cy="2743200"/>
            <wp:effectExtent l="4445" t="4445" r="15875" b="41275"/>
            <wp:docPr id="5" name="图表 2" descr="7b0a202020202263686172745265734964223a20223230343736323633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C14128">
      <w:pPr>
        <w:pStyle w:val="6"/>
        <w:bidi w:val="0"/>
        <w:jc w:val="center"/>
        <w:rPr>
          <w:rFonts w:hint="eastAsia"/>
          <w:color w:val="auto"/>
          <w:lang w:eastAsia="zh-CN"/>
        </w:rPr>
      </w:pPr>
      <w:r>
        <w:rPr>
          <w:color w:val="auto"/>
        </w:rPr>
        <w:t xml:space="preserve">图 </w:t>
      </w:r>
      <w:r>
        <w:rPr>
          <w:color w:val="auto"/>
        </w:rPr>
        <w:fldChar w:fldCharType="begin"/>
      </w:r>
      <w:r>
        <w:rPr>
          <w:color w:val="auto"/>
        </w:rPr>
        <w:instrText xml:space="preserve"> SEQ 图 \* ARABIC </w:instrText>
      </w:r>
      <w:r>
        <w:rPr>
          <w:color w:val="auto"/>
        </w:rPr>
        <w:fldChar w:fldCharType="separate"/>
      </w:r>
      <w:r>
        <w:rPr>
          <w:color w:val="auto"/>
        </w:rPr>
        <w:t>1</w:t>
      </w:r>
      <w:r>
        <w:rPr>
          <w:color w:val="auto"/>
        </w:rPr>
        <w:fldChar w:fldCharType="end"/>
      </w:r>
      <w:bookmarkStart w:id="8" w:name="_Toc17074"/>
      <w:bookmarkStart w:id="9" w:name="_Toc32258"/>
      <w:r>
        <w:rPr>
          <w:rFonts w:hint="eastAsia"/>
          <w:color w:val="auto"/>
          <w:lang w:eastAsia="zh-CN"/>
        </w:rPr>
        <w:t xml:space="preserve">  武汉科技职业学院2024届毕业生性别分布</w:t>
      </w:r>
      <w:bookmarkEnd w:id="8"/>
      <w:bookmarkEnd w:id="9"/>
    </w:p>
    <w:p w14:paraId="6707D5B1">
      <w:pPr>
        <w:pStyle w:val="3"/>
        <w:bidi w:val="0"/>
        <w:rPr>
          <w:color w:val="auto"/>
        </w:rPr>
      </w:pPr>
      <w:bookmarkStart w:id="10" w:name="_Toc27622"/>
      <w:bookmarkStart w:id="11" w:name="_Toc11406"/>
      <w:bookmarkStart w:id="12" w:name="_Toc8058"/>
      <w:r>
        <w:rPr>
          <w:color w:val="auto"/>
        </w:rPr>
        <w:t>2.</w:t>
      </w:r>
      <w:r>
        <w:rPr>
          <w:rFonts w:hint="eastAsia"/>
          <w:color w:val="auto"/>
        </w:rPr>
        <w:t>2院系专业分布</w:t>
      </w:r>
      <w:bookmarkEnd w:id="10"/>
      <w:bookmarkEnd w:id="11"/>
      <w:bookmarkEnd w:id="12"/>
      <w:bookmarkStart w:id="73" w:name="_GoBack"/>
      <w:bookmarkEnd w:id="73"/>
    </w:p>
    <w:p w14:paraId="17158D93">
      <w:pPr>
        <w:widowControl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届毕业生分布在四个院系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个专业，其中经济管理系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人，建筑工程系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108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人，信息工程系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230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人，轨道交通系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333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人。（详见附表）</w:t>
      </w:r>
    </w:p>
    <w:p w14:paraId="4963405F"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br w:type="page"/>
      </w:r>
    </w:p>
    <w:p w14:paraId="2791C7EC">
      <w:pPr>
        <w:pStyle w:val="5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武汉科技职业学院202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  <w:lang w:eastAsia="zh-CN"/>
        </w:rPr>
        <w:t>届毕业生</w:t>
      </w:r>
      <w:r>
        <w:rPr>
          <w:rFonts w:hint="eastAsia"/>
          <w:color w:val="auto"/>
          <w:sz w:val="24"/>
          <w:szCs w:val="24"/>
          <w:lang w:val="en-US" w:eastAsia="zh-CN"/>
        </w:rPr>
        <w:t>院系专业分布</w:t>
      </w:r>
    </w:p>
    <w:tbl>
      <w:tblPr>
        <w:tblStyle w:val="1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4224"/>
        <w:gridCol w:w="953"/>
        <w:gridCol w:w="1572"/>
      </w:tblGrid>
      <w:tr w14:paraId="76747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38" w:type="pct"/>
            <w:shd w:val="clear" w:color="auto" w:fill="C6ECF9"/>
            <w:noWrap/>
            <w:vAlign w:val="center"/>
          </w:tcPr>
          <w:p w14:paraId="6A95DE45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院系</w:t>
            </w:r>
          </w:p>
        </w:tc>
        <w:tc>
          <w:tcPr>
            <w:tcW w:w="2478" w:type="pct"/>
            <w:shd w:val="clear" w:color="auto" w:fill="C6ECF9"/>
            <w:noWrap/>
            <w:vAlign w:val="center"/>
          </w:tcPr>
          <w:p w14:paraId="5D64D78E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559" w:type="pct"/>
            <w:shd w:val="clear" w:color="auto" w:fill="C6ECF9"/>
            <w:noWrap/>
            <w:vAlign w:val="center"/>
          </w:tcPr>
          <w:p w14:paraId="6278382A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922" w:type="pct"/>
            <w:shd w:val="clear" w:color="auto" w:fill="C6ECF9"/>
            <w:noWrap/>
            <w:vAlign w:val="center"/>
          </w:tcPr>
          <w:p w14:paraId="053A3365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结构比</w:t>
            </w:r>
          </w:p>
        </w:tc>
      </w:tr>
      <w:tr w14:paraId="7DCFB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38" w:type="pct"/>
            <w:vMerge w:val="restart"/>
            <w:shd w:val="clear" w:color="auto" w:fill="FFFFFF"/>
            <w:noWrap/>
            <w:vAlign w:val="center"/>
          </w:tcPr>
          <w:p w14:paraId="53C6802C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轨道交通系</w:t>
            </w:r>
          </w:p>
        </w:tc>
        <w:tc>
          <w:tcPr>
            <w:tcW w:w="2478" w:type="pct"/>
            <w:shd w:val="clear" w:color="auto" w:fill="FFFFFF"/>
            <w:noWrap/>
            <w:vAlign w:val="center"/>
          </w:tcPr>
          <w:p w14:paraId="576ADC5D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城市轨道车辆应用技术</w:t>
            </w:r>
          </w:p>
        </w:tc>
        <w:tc>
          <w:tcPr>
            <w:tcW w:w="559" w:type="pct"/>
            <w:shd w:val="clear" w:color="auto" w:fill="FFFFFF"/>
            <w:noWrap/>
            <w:vAlign w:val="center"/>
          </w:tcPr>
          <w:p w14:paraId="206F8F31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45B2A682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15.37%</w:t>
            </w:r>
          </w:p>
        </w:tc>
      </w:tr>
      <w:tr w14:paraId="13DEF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38" w:type="pct"/>
            <w:vMerge w:val="continue"/>
            <w:shd w:val="clear" w:color="auto" w:fill="EDFAFE"/>
            <w:noWrap/>
            <w:vAlign w:val="center"/>
          </w:tcPr>
          <w:p w14:paraId="67798A54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shd w:val="clear" w:color="auto" w:fill="EDFAFE"/>
            <w:noWrap/>
            <w:vAlign w:val="center"/>
          </w:tcPr>
          <w:p w14:paraId="166CFD2E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城市轨道交通车辆制造与维护</w:t>
            </w:r>
          </w:p>
        </w:tc>
        <w:tc>
          <w:tcPr>
            <w:tcW w:w="559" w:type="pct"/>
            <w:shd w:val="clear" w:color="auto" w:fill="EDFAFE"/>
            <w:noWrap/>
            <w:vAlign w:val="center"/>
          </w:tcPr>
          <w:p w14:paraId="26C65039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922" w:type="pct"/>
            <w:shd w:val="clear" w:color="auto" w:fill="EDFAFE"/>
            <w:noWrap/>
            <w:vAlign w:val="center"/>
          </w:tcPr>
          <w:p w14:paraId="08438B09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5.85%</w:t>
            </w:r>
          </w:p>
        </w:tc>
      </w:tr>
      <w:tr w14:paraId="5FBFA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38" w:type="pct"/>
            <w:vMerge w:val="continue"/>
            <w:shd w:val="clear" w:color="auto" w:fill="FFFFFF"/>
            <w:noWrap/>
            <w:vAlign w:val="center"/>
          </w:tcPr>
          <w:p w14:paraId="4848F1C0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shd w:val="clear" w:color="auto" w:fill="FFFFFF"/>
            <w:noWrap/>
            <w:vAlign w:val="center"/>
          </w:tcPr>
          <w:p w14:paraId="03BC97BA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铁道机车</w:t>
            </w:r>
          </w:p>
        </w:tc>
        <w:tc>
          <w:tcPr>
            <w:tcW w:w="559" w:type="pct"/>
            <w:shd w:val="clear" w:color="auto" w:fill="FFFFFF"/>
            <w:noWrap/>
            <w:vAlign w:val="center"/>
          </w:tcPr>
          <w:p w14:paraId="1A937F9C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36776D21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0.14%</w:t>
            </w:r>
          </w:p>
        </w:tc>
      </w:tr>
      <w:tr w14:paraId="5613E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38" w:type="pct"/>
            <w:vMerge w:val="continue"/>
            <w:shd w:val="clear" w:color="auto" w:fill="EDFAFE"/>
            <w:noWrap/>
            <w:vAlign w:val="center"/>
          </w:tcPr>
          <w:p w14:paraId="68EEEF70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shd w:val="clear" w:color="auto" w:fill="EDFAFE"/>
            <w:noWrap/>
            <w:vAlign w:val="center"/>
          </w:tcPr>
          <w:p w14:paraId="4FE87253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铁道机车运用与维护</w:t>
            </w:r>
          </w:p>
        </w:tc>
        <w:tc>
          <w:tcPr>
            <w:tcW w:w="559" w:type="pct"/>
            <w:shd w:val="clear" w:color="auto" w:fill="EDFAFE"/>
            <w:noWrap/>
            <w:vAlign w:val="center"/>
          </w:tcPr>
          <w:p w14:paraId="2BCD14A8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922" w:type="pct"/>
            <w:shd w:val="clear" w:color="auto" w:fill="EDFAFE"/>
            <w:noWrap/>
            <w:vAlign w:val="center"/>
          </w:tcPr>
          <w:p w14:paraId="6D1ACE18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11.43%</w:t>
            </w:r>
          </w:p>
        </w:tc>
      </w:tr>
      <w:tr w14:paraId="7BE3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38" w:type="pct"/>
            <w:vMerge w:val="continue"/>
            <w:shd w:val="clear" w:color="auto" w:fill="FFFFFF"/>
            <w:noWrap/>
            <w:vAlign w:val="center"/>
          </w:tcPr>
          <w:p w14:paraId="76CDF349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shd w:val="clear" w:color="auto" w:fill="FFFFFF"/>
            <w:noWrap/>
            <w:vAlign w:val="center"/>
          </w:tcPr>
          <w:p w14:paraId="488726B3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铁道交通运营管理</w:t>
            </w:r>
          </w:p>
        </w:tc>
        <w:tc>
          <w:tcPr>
            <w:tcW w:w="559" w:type="pct"/>
            <w:shd w:val="clear" w:color="auto" w:fill="FFFFFF"/>
            <w:noWrap/>
            <w:vAlign w:val="center"/>
          </w:tcPr>
          <w:p w14:paraId="1E36A287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5C190814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12.52%</w:t>
            </w:r>
          </w:p>
        </w:tc>
      </w:tr>
      <w:tr w14:paraId="5FCD0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38" w:type="pct"/>
            <w:vMerge w:val="restart"/>
            <w:shd w:val="clear" w:color="auto" w:fill="EDFAFE"/>
            <w:noWrap/>
            <w:vAlign w:val="center"/>
          </w:tcPr>
          <w:p w14:paraId="2754A91C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建筑工程系</w:t>
            </w:r>
          </w:p>
        </w:tc>
        <w:tc>
          <w:tcPr>
            <w:tcW w:w="2478" w:type="pct"/>
            <w:shd w:val="clear" w:color="auto" w:fill="EDFAFE"/>
            <w:noWrap/>
            <w:vAlign w:val="center"/>
          </w:tcPr>
          <w:p w14:paraId="188A5317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工程造价</w:t>
            </w:r>
          </w:p>
        </w:tc>
        <w:tc>
          <w:tcPr>
            <w:tcW w:w="559" w:type="pct"/>
            <w:shd w:val="clear" w:color="auto" w:fill="EDFAFE"/>
            <w:noWrap/>
            <w:vAlign w:val="center"/>
          </w:tcPr>
          <w:p w14:paraId="530A83B3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922" w:type="pct"/>
            <w:shd w:val="clear" w:color="auto" w:fill="EDFAFE"/>
            <w:noWrap/>
            <w:vAlign w:val="center"/>
          </w:tcPr>
          <w:p w14:paraId="0322BAF7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6.67%</w:t>
            </w:r>
          </w:p>
        </w:tc>
      </w:tr>
      <w:tr w14:paraId="44465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38" w:type="pct"/>
            <w:vMerge w:val="continue"/>
            <w:shd w:val="clear" w:color="auto" w:fill="FFFFFF"/>
            <w:noWrap/>
            <w:vAlign w:val="center"/>
          </w:tcPr>
          <w:p w14:paraId="2B1DBCBF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shd w:val="clear" w:color="auto" w:fill="FFFFFF"/>
            <w:noWrap/>
            <w:vAlign w:val="center"/>
          </w:tcPr>
          <w:p w14:paraId="6F88C94B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建筑室内设计</w:t>
            </w:r>
          </w:p>
        </w:tc>
        <w:tc>
          <w:tcPr>
            <w:tcW w:w="559" w:type="pct"/>
            <w:shd w:val="clear" w:color="auto" w:fill="FFFFFF"/>
            <w:noWrap/>
            <w:vAlign w:val="center"/>
          </w:tcPr>
          <w:p w14:paraId="196AEF17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373CD85C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8.03%</w:t>
            </w:r>
          </w:p>
        </w:tc>
      </w:tr>
      <w:tr w14:paraId="5BEED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38" w:type="pct"/>
            <w:vMerge w:val="restart"/>
            <w:shd w:val="clear" w:color="auto" w:fill="EDFAFE"/>
            <w:noWrap/>
            <w:vAlign w:val="center"/>
          </w:tcPr>
          <w:p w14:paraId="40258F1C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经济管理系</w:t>
            </w:r>
          </w:p>
        </w:tc>
        <w:tc>
          <w:tcPr>
            <w:tcW w:w="2478" w:type="pct"/>
            <w:shd w:val="clear" w:color="auto" w:fill="EDFAFE"/>
            <w:noWrap/>
            <w:vAlign w:val="center"/>
          </w:tcPr>
          <w:p w14:paraId="42493B6B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大数据与会计</w:t>
            </w:r>
          </w:p>
        </w:tc>
        <w:tc>
          <w:tcPr>
            <w:tcW w:w="559" w:type="pct"/>
            <w:shd w:val="clear" w:color="auto" w:fill="EDFAFE"/>
            <w:noWrap/>
            <w:vAlign w:val="center"/>
          </w:tcPr>
          <w:p w14:paraId="6E881959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22" w:type="pct"/>
            <w:shd w:val="clear" w:color="auto" w:fill="EDFAFE"/>
            <w:noWrap/>
            <w:vAlign w:val="center"/>
          </w:tcPr>
          <w:p w14:paraId="56DBF53C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5.03%</w:t>
            </w:r>
          </w:p>
        </w:tc>
      </w:tr>
      <w:tr w14:paraId="48970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38" w:type="pct"/>
            <w:vMerge w:val="continue"/>
            <w:shd w:val="clear" w:color="auto" w:fill="FFFFFF"/>
            <w:noWrap/>
            <w:vAlign w:val="center"/>
          </w:tcPr>
          <w:p w14:paraId="0241FE1A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shd w:val="clear" w:color="auto" w:fill="FFFFFF"/>
            <w:noWrap/>
            <w:vAlign w:val="center"/>
          </w:tcPr>
          <w:p w14:paraId="086DF131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559" w:type="pct"/>
            <w:shd w:val="clear" w:color="auto" w:fill="FFFFFF"/>
            <w:noWrap/>
            <w:vAlign w:val="center"/>
          </w:tcPr>
          <w:p w14:paraId="080E41A0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40EAF3DD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3.67%</w:t>
            </w:r>
          </w:p>
        </w:tc>
      </w:tr>
      <w:tr w14:paraId="273A8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38" w:type="pct"/>
            <w:vMerge w:val="restart"/>
            <w:shd w:val="clear" w:color="auto" w:fill="EDFAFE"/>
            <w:noWrap/>
            <w:vAlign w:val="center"/>
          </w:tcPr>
          <w:p w14:paraId="7E332AEE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信息工程系</w:t>
            </w:r>
          </w:p>
        </w:tc>
        <w:tc>
          <w:tcPr>
            <w:tcW w:w="2478" w:type="pct"/>
            <w:shd w:val="clear" w:color="auto" w:fill="EDFAFE"/>
            <w:noWrap/>
            <w:vAlign w:val="center"/>
          </w:tcPr>
          <w:p w14:paraId="20C68AD7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机电一体化技术</w:t>
            </w:r>
          </w:p>
        </w:tc>
        <w:tc>
          <w:tcPr>
            <w:tcW w:w="559" w:type="pct"/>
            <w:shd w:val="clear" w:color="auto" w:fill="EDFAFE"/>
            <w:noWrap/>
            <w:vAlign w:val="center"/>
          </w:tcPr>
          <w:p w14:paraId="66F58D2F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922" w:type="pct"/>
            <w:shd w:val="clear" w:color="auto" w:fill="EDFAFE"/>
            <w:noWrap/>
            <w:vAlign w:val="center"/>
          </w:tcPr>
          <w:p w14:paraId="13B065FE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8.44%</w:t>
            </w:r>
          </w:p>
        </w:tc>
      </w:tr>
      <w:tr w14:paraId="59B2F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38" w:type="pct"/>
            <w:vMerge w:val="continue"/>
            <w:shd w:val="clear" w:color="auto" w:fill="FFFFFF"/>
            <w:noWrap/>
            <w:vAlign w:val="center"/>
          </w:tcPr>
          <w:p w14:paraId="085119CA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shd w:val="clear" w:color="auto" w:fill="FFFFFF"/>
            <w:noWrap/>
            <w:vAlign w:val="center"/>
          </w:tcPr>
          <w:p w14:paraId="5065753F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计算机应用技术</w:t>
            </w:r>
          </w:p>
        </w:tc>
        <w:tc>
          <w:tcPr>
            <w:tcW w:w="559" w:type="pct"/>
            <w:shd w:val="clear" w:color="auto" w:fill="FFFFFF"/>
            <w:noWrap/>
            <w:vAlign w:val="center"/>
          </w:tcPr>
          <w:p w14:paraId="4D13D738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1A5175D1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18.10%</w:t>
            </w:r>
          </w:p>
        </w:tc>
      </w:tr>
      <w:tr w14:paraId="7EC0C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38" w:type="pct"/>
            <w:vMerge w:val="continue"/>
            <w:shd w:val="clear" w:color="auto" w:fill="EDFAFE"/>
            <w:noWrap/>
            <w:vAlign w:val="center"/>
          </w:tcPr>
          <w:p w14:paraId="5940F1E4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shd w:val="clear" w:color="auto" w:fill="EDFAFE"/>
            <w:noWrap/>
            <w:vAlign w:val="center"/>
          </w:tcPr>
          <w:p w14:paraId="35DE5F64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无人机应用技术</w:t>
            </w:r>
          </w:p>
        </w:tc>
        <w:tc>
          <w:tcPr>
            <w:tcW w:w="559" w:type="pct"/>
            <w:shd w:val="clear" w:color="auto" w:fill="EDFAFE"/>
            <w:noWrap/>
            <w:vAlign w:val="center"/>
          </w:tcPr>
          <w:p w14:paraId="7B732C77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22" w:type="pct"/>
            <w:shd w:val="clear" w:color="auto" w:fill="EDFAFE"/>
            <w:noWrap/>
            <w:vAlign w:val="center"/>
          </w:tcPr>
          <w:p w14:paraId="3A2FF35A"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4.76%</w:t>
            </w:r>
          </w:p>
        </w:tc>
      </w:tr>
    </w:tbl>
    <w:p w14:paraId="6ECDC37E">
      <w:pPr>
        <w:pStyle w:val="6"/>
        <w:bidi w:val="0"/>
        <w:jc w:val="center"/>
        <w:rPr>
          <w:rFonts w:hint="eastAsia" w:eastAsiaTheme="minorEastAsia"/>
          <w:color w:val="auto"/>
          <w:lang w:eastAsia="zh-CN"/>
        </w:rPr>
      </w:pPr>
      <w:bookmarkStart w:id="13" w:name="_Toc6251"/>
      <w:bookmarkStart w:id="14" w:name="_Toc29385"/>
      <w:bookmarkStart w:id="15" w:name="_Toc11927"/>
      <w:r>
        <w:rPr>
          <w:color w:val="auto"/>
        </w:rPr>
        <w:t xml:space="preserve">表 </w:t>
      </w:r>
      <w:r>
        <w:rPr>
          <w:color w:val="auto"/>
        </w:rPr>
        <w:fldChar w:fldCharType="begin"/>
      </w:r>
      <w:r>
        <w:rPr>
          <w:color w:val="auto"/>
        </w:rPr>
        <w:instrText xml:space="preserve"> SEQ 表 \* ARABIC </w:instrText>
      </w:r>
      <w:r>
        <w:rPr>
          <w:color w:val="auto"/>
        </w:rPr>
        <w:fldChar w:fldCharType="separate"/>
      </w:r>
      <w:r>
        <w:rPr>
          <w:color w:val="auto"/>
        </w:rPr>
        <w:t>1</w:t>
      </w:r>
      <w:r>
        <w:rPr>
          <w:color w:val="auto"/>
        </w:rPr>
        <w:fldChar w:fldCharType="end"/>
      </w:r>
      <w:bookmarkStart w:id="16" w:name="_Toc11282"/>
      <w:bookmarkStart w:id="17" w:name="_Toc24684"/>
      <w:r>
        <w:rPr>
          <w:rFonts w:hint="eastAsia"/>
          <w:color w:val="auto"/>
          <w:lang w:eastAsia="zh-CN"/>
        </w:rPr>
        <w:t xml:space="preserve">  武汉科技职业学院2024届毕业生院系专业分布</w:t>
      </w:r>
      <w:bookmarkEnd w:id="16"/>
      <w:bookmarkEnd w:id="17"/>
    </w:p>
    <w:p w14:paraId="0E9850B8">
      <w:pPr>
        <w:pStyle w:val="3"/>
        <w:bidi w:val="0"/>
        <w:rPr>
          <w:color w:val="auto"/>
        </w:rPr>
      </w:pPr>
      <w:r>
        <w:rPr>
          <w:rFonts w:hint="eastAsia"/>
          <w:color w:val="auto"/>
        </w:rPr>
        <w:t>2.3生源结构分布</w:t>
      </w:r>
      <w:bookmarkEnd w:id="13"/>
      <w:bookmarkEnd w:id="14"/>
      <w:bookmarkEnd w:id="15"/>
    </w:p>
    <w:p w14:paraId="5EB5B556">
      <w:pPr>
        <w:widowControl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2024届毕业生生源地来自：湖北省635人，占比86.39%；安徽省29人，占比3.95%；江西省26人，占比3.54%；河南省14人，占比1.90%；贵州省6人，占比0.82%；重庆省6人，占比0.82%；广西省4人0.54%，占比；广东省3人，占比0.41%；江苏省3人，占比0.41%；福建省2人，占比0.27%；四川省2人，占比0.27%；浙江省2人，占比0.27%；甘肃省1人，占比0.14%；湖南省1人，占比0.14%；陕西省1人，占比0.14%。</w:t>
      </w:r>
    </w:p>
    <w:p w14:paraId="282668FB">
      <w:pPr>
        <w:widowControl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</w:pPr>
      <w:r>
        <w:rPr>
          <w:color w:val="auto"/>
        </w:rPr>
        <w:drawing>
          <wp:inline distT="0" distB="0" distL="114300" distR="114300">
            <wp:extent cx="5381625" cy="2720340"/>
            <wp:effectExtent l="4445" t="4445" r="8890" b="18415"/>
            <wp:docPr id="6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D5A210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宋体"/>
          <w:color w:val="auto"/>
          <w:lang w:eastAsia="zh-CN"/>
        </w:rPr>
      </w:pPr>
      <w:bookmarkStart w:id="18" w:name="_Toc29944"/>
      <w:r>
        <w:rPr>
          <w:color w:val="auto"/>
        </w:rPr>
        <w:t xml:space="preserve">图 </w:t>
      </w:r>
      <w:r>
        <w:rPr>
          <w:color w:val="auto"/>
        </w:rPr>
        <w:fldChar w:fldCharType="begin"/>
      </w:r>
      <w:r>
        <w:rPr>
          <w:color w:val="auto"/>
        </w:rPr>
        <w:instrText xml:space="preserve"> SEQ 图 \* ARABIC </w:instrText>
      </w:r>
      <w:r>
        <w:rPr>
          <w:color w:val="auto"/>
        </w:rPr>
        <w:fldChar w:fldCharType="separate"/>
      </w:r>
      <w:r>
        <w:rPr>
          <w:color w:val="auto"/>
        </w:rPr>
        <w:t>2</w:t>
      </w:r>
      <w:r>
        <w:rPr>
          <w:color w:val="auto"/>
        </w:rPr>
        <w:fldChar w:fldCharType="end"/>
      </w:r>
      <w:bookmarkStart w:id="19" w:name="_Toc16718"/>
      <w:r>
        <w:rPr>
          <w:rFonts w:hint="eastAsia"/>
          <w:color w:val="auto"/>
          <w:lang w:eastAsia="zh-CN"/>
        </w:rPr>
        <w:t xml:space="preserve">  武汉科技职业学院2024届毕业生的生源地分布</w:t>
      </w:r>
      <w:bookmarkEnd w:id="19"/>
    </w:p>
    <w:bookmarkEnd w:id="18"/>
    <w:p w14:paraId="470F87EE">
      <w:pPr>
        <w:pStyle w:val="3"/>
        <w:bidi w:val="0"/>
        <w:rPr>
          <w:color w:val="auto"/>
        </w:rPr>
      </w:pPr>
      <w:bookmarkStart w:id="20" w:name="_Toc14861"/>
      <w:bookmarkStart w:id="21" w:name="_Toc32356"/>
      <w:bookmarkStart w:id="22" w:name="_Toc17230"/>
      <w:r>
        <w:rPr>
          <w:rFonts w:hint="eastAsia"/>
          <w:color w:val="auto"/>
        </w:rPr>
        <w:t>2.4民族分布</w:t>
      </w:r>
      <w:bookmarkEnd w:id="20"/>
      <w:bookmarkEnd w:id="21"/>
      <w:bookmarkEnd w:id="22"/>
    </w:p>
    <w:p w14:paraId="53279186">
      <w:pPr>
        <w:widowControl/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届毕业生民族占比情况：汉族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722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人，占比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98.23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%；土家族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人，占比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1.50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%；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壮族1人，占比0.14%；侗族1人，占比0.14%。</w:t>
      </w:r>
    </w:p>
    <w:p w14:paraId="61AEE532">
      <w:pPr>
        <w:widowControl/>
        <w:ind w:firstLine="420" w:firstLineChars="200"/>
        <w:jc w:val="center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4826000" cy="2743200"/>
            <wp:effectExtent l="0" t="0" r="5080" b="45720"/>
            <wp:docPr id="8" name="图表 2" descr="7b0a202020202263686172745265734964223a20223230343736353930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29875CC">
      <w:pPr>
        <w:pStyle w:val="6"/>
        <w:widowControl/>
        <w:ind w:firstLine="420" w:firstLineChars="200"/>
        <w:jc w:val="center"/>
        <w:rPr>
          <w:rFonts w:hint="eastAsia" w:eastAsiaTheme="minorEastAsia"/>
          <w:color w:val="auto"/>
          <w:lang w:eastAsia="zh-CN"/>
        </w:rPr>
      </w:pPr>
      <w:r>
        <w:rPr>
          <w:color w:val="auto"/>
        </w:rPr>
        <w:t xml:space="preserve">图 </w:t>
      </w:r>
      <w:r>
        <w:rPr>
          <w:color w:val="auto"/>
        </w:rPr>
        <w:fldChar w:fldCharType="begin"/>
      </w:r>
      <w:r>
        <w:rPr>
          <w:color w:val="auto"/>
        </w:rPr>
        <w:instrText xml:space="preserve"> SEQ 图 \* ARABIC </w:instrText>
      </w:r>
      <w:r>
        <w:rPr>
          <w:color w:val="auto"/>
        </w:rPr>
        <w:fldChar w:fldCharType="separate"/>
      </w:r>
      <w:r>
        <w:rPr>
          <w:color w:val="auto"/>
        </w:rPr>
        <w:t>3</w:t>
      </w:r>
      <w:r>
        <w:rPr>
          <w:color w:val="auto"/>
        </w:rPr>
        <w:fldChar w:fldCharType="end"/>
      </w:r>
      <w:bookmarkStart w:id="23" w:name="_Toc27613"/>
      <w:r>
        <w:rPr>
          <w:rFonts w:hint="eastAsia"/>
          <w:color w:val="auto"/>
          <w:lang w:eastAsia="zh-CN"/>
        </w:rPr>
        <w:t xml:space="preserve">  武汉科技职业学院2024届毕业生民族占比</w:t>
      </w:r>
      <w:bookmarkEnd w:id="23"/>
    </w:p>
    <w:p w14:paraId="701B55B4"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2"/>
          <w:szCs w:val="22"/>
          <w:lang w:val="en-US" w:eastAsia="zh-CN"/>
        </w:rPr>
        <w:br w:type="page"/>
      </w:r>
    </w:p>
    <w:p w14:paraId="668544EC">
      <w:pPr>
        <w:pStyle w:val="2"/>
        <w:numPr>
          <w:ilvl w:val="0"/>
          <w:numId w:val="1"/>
        </w:numPr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</w:t>
      </w:r>
      <w:bookmarkStart w:id="24" w:name="_Toc1625"/>
      <w:bookmarkStart w:id="25" w:name="_Toc8097"/>
      <w:bookmarkStart w:id="26" w:name="_Toc29041"/>
      <w:r>
        <w:rPr>
          <w:rFonts w:hint="eastAsia"/>
          <w:color w:val="auto"/>
        </w:rPr>
        <w:t>毕业生就业情况及分析</w:t>
      </w:r>
      <w:bookmarkEnd w:id="24"/>
      <w:bookmarkEnd w:id="25"/>
      <w:bookmarkEnd w:id="26"/>
    </w:p>
    <w:p w14:paraId="49D62328">
      <w:pPr>
        <w:pStyle w:val="3"/>
        <w:bidi w:val="0"/>
        <w:rPr>
          <w:color w:val="auto"/>
        </w:rPr>
      </w:pPr>
      <w:bookmarkStart w:id="27" w:name="_Toc27317"/>
      <w:bookmarkStart w:id="28" w:name="_Toc18852"/>
      <w:bookmarkStart w:id="29" w:name="_Toc17776"/>
      <w:r>
        <w:rPr>
          <w:rFonts w:hint="eastAsia"/>
          <w:color w:val="auto"/>
        </w:rPr>
        <w:t>3.1就业率</w:t>
      </w:r>
      <w:bookmarkEnd w:id="27"/>
      <w:bookmarkEnd w:id="28"/>
      <w:bookmarkEnd w:id="29"/>
    </w:p>
    <w:p w14:paraId="787D7355">
      <w:pPr>
        <w:pStyle w:val="4"/>
        <w:bidi w:val="0"/>
        <w:rPr>
          <w:color w:val="auto"/>
        </w:rPr>
      </w:pPr>
      <w:bookmarkStart w:id="30" w:name="_Toc19007"/>
      <w:r>
        <w:rPr>
          <w:color w:val="auto"/>
        </w:rPr>
        <w:t>3.</w:t>
      </w:r>
      <w:r>
        <w:rPr>
          <w:rFonts w:hint="eastAsia"/>
          <w:color w:val="auto"/>
        </w:rPr>
        <w:t>1.1就业率构成</w:t>
      </w:r>
      <w:bookmarkEnd w:id="30"/>
    </w:p>
    <w:p w14:paraId="6D194369">
      <w:pPr>
        <w:widowControl/>
        <w:ind w:firstLine="570"/>
        <w:jc w:val="left"/>
        <w:rPr>
          <w:rFonts w:ascii="宋体" w:hAnsi="宋体" w:eastAsia="宋体" w:cs="宋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截止到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月3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日，我校毕业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735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人，就业人数为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631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人，其中升学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57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人，升学率为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7.76</w:t>
      </w:r>
      <w:r>
        <w:rPr>
          <w:rFonts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%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协议就业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545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人，协议就业率为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74.15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%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灵活就业为28人，灵活就业率为3.81%；自主创业为1人，自主创业率为0.14%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。</w:t>
      </w:r>
    </w:p>
    <w:p w14:paraId="4A46D322">
      <w:pPr>
        <w:widowControl/>
        <w:ind w:firstLine="570"/>
        <w:jc w:val="center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4814570" cy="2725420"/>
            <wp:effectExtent l="4445" t="4445" r="12065" b="13335"/>
            <wp:docPr id="2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DCCE8AC">
      <w:pPr>
        <w:pStyle w:val="6"/>
        <w:widowControl/>
        <w:ind w:firstLine="570"/>
        <w:jc w:val="center"/>
        <w:rPr>
          <w:rFonts w:hint="eastAsia" w:eastAsiaTheme="minorEastAsia"/>
          <w:color w:val="auto"/>
          <w:lang w:eastAsia="zh-CN"/>
        </w:rPr>
      </w:pPr>
      <w:r>
        <w:rPr>
          <w:color w:val="auto"/>
        </w:rPr>
        <w:t xml:space="preserve">图 </w:t>
      </w:r>
      <w:r>
        <w:rPr>
          <w:color w:val="auto"/>
        </w:rPr>
        <w:fldChar w:fldCharType="begin"/>
      </w:r>
      <w:r>
        <w:rPr>
          <w:color w:val="auto"/>
        </w:rPr>
        <w:instrText xml:space="preserve"> SEQ 图 \* ARABIC </w:instrText>
      </w:r>
      <w:r>
        <w:rPr>
          <w:color w:val="auto"/>
        </w:rPr>
        <w:fldChar w:fldCharType="separate"/>
      </w:r>
      <w:r>
        <w:rPr>
          <w:color w:val="auto"/>
        </w:rPr>
        <w:t>4</w:t>
      </w:r>
      <w:r>
        <w:rPr>
          <w:color w:val="auto"/>
        </w:rPr>
        <w:fldChar w:fldCharType="end"/>
      </w:r>
      <w:bookmarkStart w:id="31" w:name="_Toc7391"/>
      <w:r>
        <w:rPr>
          <w:rFonts w:hint="eastAsia"/>
          <w:color w:val="auto"/>
          <w:lang w:eastAsia="zh-CN"/>
        </w:rPr>
        <w:t xml:space="preserve">  武汉科技职业学院2024届毕业生就业率构成</w:t>
      </w:r>
      <w:bookmarkEnd w:id="31"/>
    </w:p>
    <w:p w14:paraId="0AF4524C">
      <w:pPr>
        <w:pStyle w:val="4"/>
        <w:bidi w:val="0"/>
        <w:rPr>
          <w:color w:val="auto"/>
        </w:rPr>
      </w:pPr>
      <w:bookmarkStart w:id="32" w:name="_Toc17822"/>
      <w:r>
        <w:rPr>
          <w:color w:val="auto"/>
        </w:rPr>
        <w:t>3.</w:t>
      </w:r>
      <w:r>
        <w:rPr>
          <w:rFonts w:hint="eastAsia"/>
          <w:color w:val="auto"/>
        </w:rPr>
        <w:t>1.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未就业原因</w:t>
      </w:r>
      <w:bookmarkEnd w:id="32"/>
    </w:p>
    <w:p w14:paraId="302B3B4C">
      <w:pPr>
        <w:widowControl/>
        <w:ind w:firstLine="570"/>
        <w:jc w:val="left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通过对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届未就业的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104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名毕业生进行逐一回访，未就业原因大致为以下几种情况：正在求职中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76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人，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自由职业26人，入伍1人，出国1人。</w:t>
      </w:r>
    </w:p>
    <w:p w14:paraId="3F09444E">
      <w:pPr>
        <w:widowControl/>
        <w:ind w:firstLine="570"/>
        <w:jc w:val="center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4826000" cy="2194560"/>
            <wp:effectExtent l="4445" t="4445" r="15875" b="10795"/>
            <wp:docPr id="1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5D970F4">
      <w:pPr>
        <w:pStyle w:val="6"/>
        <w:widowControl/>
        <w:ind w:firstLine="570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22"/>
          <w:szCs w:val="22"/>
          <w:lang w:val="en-US" w:eastAsia="zh-CN"/>
        </w:rPr>
      </w:pPr>
      <w:r>
        <w:rPr>
          <w:color w:val="auto"/>
        </w:rPr>
        <w:t xml:space="preserve">图 </w:t>
      </w:r>
      <w:r>
        <w:rPr>
          <w:color w:val="auto"/>
        </w:rPr>
        <w:fldChar w:fldCharType="begin"/>
      </w:r>
      <w:r>
        <w:rPr>
          <w:color w:val="auto"/>
        </w:rPr>
        <w:instrText xml:space="preserve"> SEQ 图 \* ARABIC </w:instrText>
      </w:r>
      <w:r>
        <w:rPr>
          <w:color w:val="auto"/>
        </w:rPr>
        <w:fldChar w:fldCharType="separate"/>
      </w:r>
      <w:r>
        <w:rPr>
          <w:color w:val="auto"/>
        </w:rPr>
        <w:t>5</w:t>
      </w:r>
      <w:r>
        <w:rPr>
          <w:color w:val="auto"/>
        </w:rPr>
        <w:fldChar w:fldCharType="end"/>
      </w:r>
      <w:bookmarkStart w:id="33" w:name="_Toc28212"/>
      <w:r>
        <w:rPr>
          <w:rFonts w:hint="eastAsia"/>
          <w:color w:val="auto"/>
          <w:lang w:eastAsia="zh-CN"/>
        </w:rPr>
        <w:t xml:space="preserve">  武汉科技职业学院2024届毕业生未就业调查统计</w:t>
      </w:r>
      <w:bookmarkEnd w:id="33"/>
    </w:p>
    <w:p w14:paraId="52B67624">
      <w:pPr>
        <w:pStyle w:val="3"/>
        <w:bidi w:val="0"/>
        <w:rPr>
          <w:color w:val="auto"/>
        </w:rPr>
      </w:pPr>
      <w:bookmarkStart w:id="34" w:name="_Toc22350"/>
      <w:bookmarkStart w:id="35" w:name="_Toc15557"/>
      <w:bookmarkStart w:id="36" w:name="_Toc13592"/>
      <w:r>
        <w:rPr>
          <w:color w:val="auto"/>
        </w:rPr>
        <w:t>3.</w:t>
      </w:r>
      <w:r>
        <w:rPr>
          <w:rFonts w:hint="eastAsia"/>
          <w:color w:val="auto"/>
        </w:rPr>
        <w:t>2 就业流向</w:t>
      </w:r>
      <w:bookmarkEnd w:id="34"/>
      <w:bookmarkEnd w:id="35"/>
      <w:bookmarkEnd w:id="36"/>
    </w:p>
    <w:p w14:paraId="249586FE">
      <w:pPr>
        <w:pStyle w:val="4"/>
        <w:bidi w:val="0"/>
        <w:rPr>
          <w:color w:val="auto"/>
        </w:rPr>
      </w:pPr>
      <w:bookmarkStart w:id="37" w:name="_Toc22619"/>
      <w:r>
        <w:rPr>
          <w:color w:val="auto"/>
        </w:rPr>
        <w:t>3.</w:t>
      </w:r>
      <w:r>
        <w:rPr>
          <w:rFonts w:hint="eastAsia"/>
          <w:color w:val="auto"/>
        </w:rPr>
        <w:t>2.1就业区域分布</w:t>
      </w:r>
      <w:bookmarkEnd w:id="37"/>
    </w:p>
    <w:p w14:paraId="42997E2F">
      <w:pPr>
        <w:widowControl/>
        <w:ind w:firstLine="57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届毕业生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主要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就业地区为湖北省466人，广东省43人，江苏省21人，浙江省20人，安徽省15人，河南省11人，上海市10人，江西省8人，湖南省6人，北京市4人，贵州省4人，陕西省4人，福建省3人，广西壮族自治区2人，河北省2人，山西省2人，四川省2人，重庆市2人，甘肃省1人，海南省1人，辽宁省1人，天津市1人，新疆维吾尔自治区1人，云南省1人。</w:t>
      </w:r>
    </w:p>
    <w:p w14:paraId="19F086DE">
      <w:pPr>
        <w:jc w:val="center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5019675" cy="2269490"/>
            <wp:effectExtent l="4445" t="4445" r="5080" b="1206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A0DF39D">
      <w:pPr>
        <w:pStyle w:val="6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22"/>
          <w:szCs w:val="22"/>
          <w:lang w:val="en-US" w:eastAsia="zh-CN"/>
        </w:rPr>
      </w:pPr>
      <w:r>
        <w:rPr>
          <w:color w:val="auto"/>
        </w:rPr>
        <w:t xml:space="preserve">图 </w:t>
      </w:r>
      <w:r>
        <w:rPr>
          <w:color w:val="auto"/>
        </w:rPr>
        <w:fldChar w:fldCharType="begin"/>
      </w:r>
      <w:r>
        <w:rPr>
          <w:color w:val="auto"/>
        </w:rPr>
        <w:instrText xml:space="preserve"> SEQ 图 \* ARABIC </w:instrText>
      </w:r>
      <w:r>
        <w:rPr>
          <w:color w:val="auto"/>
        </w:rPr>
        <w:fldChar w:fldCharType="separate"/>
      </w:r>
      <w:r>
        <w:rPr>
          <w:color w:val="auto"/>
        </w:rPr>
        <w:t>6</w:t>
      </w:r>
      <w:r>
        <w:rPr>
          <w:color w:val="auto"/>
        </w:rPr>
        <w:fldChar w:fldCharType="end"/>
      </w:r>
      <w:bookmarkStart w:id="38" w:name="_Toc12112"/>
      <w:r>
        <w:rPr>
          <w:rFonts w:hint="eastAsia"/>
          <w:color w:val="auto"/>
          <w:lang w:eastAsia="zh-CN"/>
        </w:rPr>
        <w:t xml:space="preserve">  武汉科技职业学院2024 届毕业生就业区域分布</w:t>
      </w:r>
      <w:bookmarkEnd w:id="38"/>
    </w:p>
    <w:p w14:paraId="67EA0872">
      <w:pPr>
        <w:pStyle w:val="4"/>
        <w:bidi w:val="0"/>
        <w:rPr>
          <w:color w:val="auto"/>
        </w:rPr>
      </w:pPr>
      <w:bookmarkStart w:id="39" w:name="_Toc9522"/>
      <w:r>
        <w:rPr>
          <w:rFonts w:hint="eastAsia"/>
          <w:color w:val="auto"/>
        </w:rPr>
        <w:t>3.2.2就业单位性质分布</w:t>
      </w:r>
      <w:bookmarkEnd w:id="39"/>
    </w:p>
    <w:p w14:paraId="6D73A373">
      <w:pPr>
        <w:ind w:firstLine="560" w:firstLineChars="200"/>
        <w:jc w:val="left"/>
        <w:rPr>
          <w:rFonts w:ascii="宋体" w:hAnsi="宋体" w:eastAsia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eastAsia="zh-CN"/>
        </w:rPr>
        <w:t>202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届毕业生就业单位性质主要以中小微民营企业为主，其次是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部队、个体工商户、其他事业单位、机关单位、高等教育单位、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国有企业、外商投资企业。</w:t>
      </w:r>
    </w:p>
    <w:p w14:paraId="7F9694A1">
      <w:pPr>
        <w:ind w:firstLine="420" w:firstLineChars="200"/>
        <w:jc w:val="center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5272405" cy="2573020"/>
            <wp:effectExtent l="4445" t="4445" r="11430" b="13335"/>
            <wp:docPr id="2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2BD82B7">
      <w:pPr>
        <w:pStyle w:val="6"/>
        <w:ind w:firstLine="420" w:firstLineChars="200"/>
        <w:jc w:val="center"/>
        <w:rPr>
          <w:rFonts w:hint="eastAsia" w:eastAsiaTheme="minorEastAsia"/>
          <w:color w:val="auto"/>
          <w:lang w:eastAsia="zh-CN"/>
        </w:rPr>
      </w:pPr>
      <w:r>
        <w:rPr>
          <w:color w:val="auto"/>
        </w:rPr>
        <w:t xml:space="preserve">图 </w:t>
      </w:r>
      <w:r>
        <w:rPr>
          <w:color w:val="auto"/>
        </w:rPr>
        <w:fldChar w:fldCharType="begin"/>
      </w:r>
      <w:r>
        <w:rPr>
          <w:color w:val="auto"/>
        </w:rPr>
        <w:instrText xml:space="preserve"> SEQ 图 \* ARABIC </w:instrText>
      </w:r>
      <w:r>
        <w:rPr>
          <w:color w:val="auto"/>
        </w:rPr>
        <w:fldChar w:fldCharType="separate"/>
      </w:r>
      <w:r>
        <w:rPr>
          <w:color w:val="auto"/>
        </w:rPr>
        <w:t>7</w:t>
      </w:r>
      <w:r>
        <w:rPr>
          <w:color w:val="auto"/>
        </w:rPr>
        <w:fldChar w:fldCharType="end"/>
      </w:r>
      <w:bookmarkStart w:id="40" w:name="_Toc26084"/>
      <w:r>
        <w:rPr>
          <w:rFonts w:hint="eastAsia"/>
          <w:color w:val="auto"/>
          <w:lang w:eastAsia="zh-CN"/>
        </w:rPr>
        <w:t xml:space="preserve">  武汉科技职业学院2024届毕业生就业单位性质分布</w:t>
      </w:r>
      <w:bookmarkEnd w:id="40"/>
    </w:p>
    <w:p w14:paraId="4F5426D3">
      <w:pPr>
        <w:pStyle w:val="4"/>
        <w:bidi w:val="0"/>
        <w:rPr>
          <w:color w:val="auto"/>
        </w:rPr>
      </w:pPr>
      <w:bookmarkStart w:id="41" w:name="_Toc26123"/>
      <w:r>
        <w:rPr>
          <w:rFonts w:hint="eastAsia"/>
          <w:color w:val="auto"/>
        </w:rPr>
        <w:t>3.2.3就业单位行业分布</w:t>
      </w:r>
      <w:bookmarkEnd w:id="41"/>
    </w:p>
    <w:p w14:paraId="2147143E">
      <w:pPr>
        <w:ind w:firstLine="560" w:firstLineChars="200"/>
        <w:jc w:val="left"/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eastAsia="zh-CN"/>
        </w:rPr>
        <w:t>202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届毕业生就业单位行业主要有信息传输、软件和信息技术服务业、批发和零售业、租赁和商务服务业、制造业、建筑业、科学研究和技术服务业、文化、体育和娱乐业、住宿和餐饮业等，详见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表。</w:t>
      </w:r>
    </w:p>
    <w:p w14:paraId="15986EA2">
      <w:pP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br w:type="page"/>
      </w:r>
    </w:p>
    <w:tbl>
      <w:tblPr>
        <w:tblStyle w:val="17"/>
        <w:tblW w:w="518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6016"/>
        <w:gridCol w:w="1777"/>
      </w:tblGrid>
      <w:tr w14:paraId="77794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000" w:type="pct"/>
            <w:gridSpan w:val="3"/>
            <w:tcBorders>
              <w:top w:val="single" w:color="17B2DF" w:sz="0" w:space="0"/>
              <w:left w:val="single" w:color="C6ECF9" w:sz="0" w:space="0"/>
              <w:bottom w:val="single" w:color="17B2DF" w:sz="0" w:space="0"/>
              <w:right w:val="dotted" w:color="auto" w:sz="0" w:space="0"/>
            </w:tcBorders>
            <w:shd w:val="clear" w:color="auto" w:fill="C6ECF9"/>
            <w:noWrap/>
            <w:vAlign w:val="center"/>
          </w:tcPr>
          <w:p w14:paraId="45CC3BE6">
            <w:pPr>
              <w:pStyle w:val="5"/>
              <w:bidi w:val="0"/>
              <w:rPr>
                <w:rFonts w:hint="eastAsia"/>
                <w:color w:val="auto"/>
              </w:rPr>
            </w:pPr>
            <w:bookmarkStart w:id="42" w:name="_Toc9278"/>
            <w:r>
              <w:rPr>
                <w:rFonts w:hint="eastAsia"/>
                <w:color w:val="auto"/>
                <w:sz w:val="24"/>
                <w:szCs w:val="28"/>
                <w:lang w:val="en-US" w:eastAsia="zh-CN"/>
              </w:rPr>
              <w:t>武汉科技职业学院2024届毕业生就业单位行业分布</w:t>
            </w:r>
            <w:bookmarkEnd w:id="42"/>
          </w:p>
        </w:tc>
      </w:tr>
      <w:tr w14:paraId="2F8B6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92" w:type="pct"/>
            <w:tcBorders>
              <w:top w:val="single" w:color="17B2DF" w:sz="4" w:space="0"/>
              <w:left w:val="single" w:color="C6ECF9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019E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03" w:type="pct"/>
            <w:tcBorders>
              <w:top w:val="single" w:color="17B2DF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5FCC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单位行业</w:t>
            </w:r>
          </w:p>
        </w:tc>
        <w:tc>
          <w:tcPr>
            <w:tcW w:w="1003" w:type="pct"/>
            <w:tcBorders>
              <w:top w:val="single" w:color="17B2DF" w:sz="4" w:space="0"/>
              <w:left w:val="dotted" w:color="auto" w:sz="4" w:space="0"/>
              <w:bottom w:val="dotted" w:color="auto" w:sz="4" w:space="0"/>
              <w:right w:val="single" w:color="C6ECF9" w:sz="4" w:space="0"/>
            </w:tcBorders>
            <w:shd w:val="clear" w:color="auto" w:fill="FFFFFF"/>
            <w:noWrap/>
            <w:vAlign w:val="center"/>
          </w:tcPr>
          <w:p w14:paraId="4EAB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就业人数</w:t>
            </w:r>
          </w:p>
        </w:tc>
      </w:tr>
      <w:tr w14:paraId="4A137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92" w:type="pct"/>
            <w:tcBorders>
              <w:top w:val="dotted" w:color="auto" w:sz="4" w:space="0"/>
              <w:left w:val="single" w:color="C6ECF9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noWrap/>
            <w:vAlign w:val="center"/>
          </w:tcPr>
          <w:p w14:paraId="72A1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noWrap/>
            <w:vAlign w:val="center"/>
          </w:tcPr>
          <w:p w14:paraId="7BD1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10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C6ECF9" w:sz="4" w:space="0"/>
            </w:tcBorders>
            <w:shd w:val="clear" w:color="auto" w:fill="EDFAFE"/>
            <w:noWrap/>
            <w:vAlign w:val="center"/>
          </w:tcPr>
          <w:p w14:paraId="5778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</w:tr>
      <w:tr w14:paraId="50822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92" w:type="pct"/>
            <w:tcBorders>
              <w:top w:val="dotted" w:color="auto" w:sz="4" w:space="0"/>
              <w:left w:val="single" w:color="C6ECF9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1B5B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4469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C6ECF9" w:sz="4" w:space="0"/>
            </w:tcBorders>
            <w:shd w:val="clear" w:color="auto" w:fill="FFFFFF"/>
            <w:noWrap/>
            <w:vAlign w:val="center"/>
          </w:tcPr>
          <w:p w14:paraId="3A42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64841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92" w:type="pct"/>
            <w:tcBorders>
              <w:top w:val="dotted" w:color="auto" w:sz="4" w:space="0"/>
              <w:left w:val="single" w:color="C6ECF9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noWrap/>
            <w:vAlign w:val="center"/>
          </w:tcPr>
          <w:p w14:paraId="37E1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noWrap/>
            <w:vAlign w:val="center"/>
          </w:tcPr>
          <w:p w14:paraId="4E40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10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C6ECF9" w:sz="4" w:space="0"/>
            </w:tcBorders>
            <w:shd w:val="clear" w:color="auto" w:fill="EDFAFE"/>
            <w:noWrap/>
            <w:vAlign w:val="center"/>
          </w:tcPr>
          <w:p w14:paraId="35D9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402E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92" w:type="pct"/>
            <w:tcBorders>
              <w:top w:val="dotted" w:color="auto" w:sz="4" w:space="0"/>
              <w:left w:val="single" w:color="C6ECF9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65E1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1644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C6ECF9" w:sz="4" w:space="0"/>
            </w:tcBorders>
            <w:shd w:val="clear" w:color="auto" w:fill="FFFFFF"/>
            <w:noWrap/>
            <w:vAlign w:val="center"/>
          </w:tcPr>
          <w:p w14:paraId="743D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 w14:paraId="5D028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92" w:type="pct"/>
            <w:tcBorders>
              <w:top w:val="dotted" w:color="auto" w:sz="4" w:space="0"/>
              <w:left w:val="single" w:color="C6ECF9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noWrap/>
            <w:vAlign w:val="center"/>
          </w:tcPr>
          <w:p w14:paraId="7A5E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noWrap/>
            <w:vAlign w:val="center"/>
          </w:tcPr>
          <w:p w14:paraId="4732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C6ECF9" w:sz="4" w:space="0"/>
            </w:tcBorders>
            <w:shd w:val="clear" w:color="auto" w:fill="EDFAFE"/>
            <w:noWrap/>
            <w:vAlign w:val="center"/>
          </w:tcPr>
          <w:p w14:paraId="46B9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569EB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92" w:type="pct"/>
            <w:tcBorders>
              <w:top w:val="dotted" w:color="auto" w:sz="4" w:space="0"/>
              <w:left w:val="single" w:color="C6ECF9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193A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5311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0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C6ECF9" w:sz="4" w:space="0"/>
            </w:tcBorders>
            <w:shd w:val="clear" w:color="auto" w:fill="FFFFFF"/>
            <w:noWrap/>
            <w:vAlign w:val="center"/>
          </w:tcPr>
          <w:p w14:paraId="392C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E492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92" w:type="pct"/>
            <w:tcBorders>
              <w:top w:val="dotted" w:color="auto" w:sz="4" w:space="0"/>
              <w:left w:val="single" w:color="C6ECF9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noWrap/>
            <w:vAlign w:val="center"/>
          </w:tcPr>
          <w:p w14:paraId="6B3E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noWrap/>
            <w:vAlign w:val="center"/>
          </w:tcPr>
          <w:p w14:paraId="10CD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10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C6ECF9" w:sz="4" w:space="0"/>
            </w:tcBorders>
            <w:shd w:val="clear" w:color="auto" w:fill="EDFAFE"/>
            <w:noWrap/>
            <w:vAlign w:val="center"/>
          </w:tcPr>
          <w:p w14:paraId="644D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2E413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92" w:type="pct"/>
            <w:tcBorders>
              <w:top w:val="dotted" w:color="auto" w:sz="4" w:space="0"/>
              <w:left w:val="single" w:color="C6ECF9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3AB8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7D10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住宿和餐饮业</w:t>
            </w:r>
          </w:p>
        </w:tc>
        <w:tc>
          <w:tcPr>
            <w:tcW w:w="10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C6ECF9" w:sz="4" w:space="0"/>
            </w:tcBorders>
            <w:shd w:val="clear" w:color="auto" w:fill="FFFFFF"/>
            <w:noWrap/>
            <w:vAlign w:val="center"/>
          </w:tcPr>
          <w:p w14:paraId="0CFA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3A28C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92" w:type="pct"/>
            <w:tcBorders>
              <w:top w:val="dotted" w:color="auto" w:sz="4" w:space="0"/>
              <w:left w:val="single" w:color="C6ECF9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noWrap/>
            <w:vAlign w:val="center"/>
          </w:tcPr>
          <w:p w14:paraId="1547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noWrap/>
            <w:vAlign w:val="center"/>
          </w:tcPr>
          <w:p w14:paraId="7CEC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0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C6ECF9" w:sz="4" w:space="0"/>
            </w:tcBorders>
            <w:shd w:val="clear" w:color="auto" w:fill="EDFAFE"/>
            <w:noWrap/>
            <w:vAlign w:val="center"/>
          </w:tcPr>
          <w:p w14:paraId="0394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44ECB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92" w:type="pct"/>
            <w:tcBorders>
              <w:top w:val="dotted" w:color="auto" w:sz="4" w:space="0"/>
              <w:left w:val="single" w:color="C6ECF9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5D02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5F3A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0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C6ECF9" w:sz="4" w:space="0"/>
            </w:tcBorders>
            <w:shd w:val="clear" w:color="auto" w:fill="FFFFFF"/>
            <w:noWrap/>
            <w:vAlign w:val="center"/>
          </w:tcPr>
          <w:p w14:paraId="1D8C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2CAB0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92" w:type="pct"/>
            <w:tcBorders>
              <w:top w:val="dotted" w:color="auto" w:sz="4" w:space="0"/>
              <w:left w:val="single" w:color="C6ECF9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noWrap/>
            <w:vAlign w:val="center"/>
          </w:tcPr>
          <w:p w14:paraId="5396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noWrap/>
            <w:vAlign w:val="center"/>
          </w:tcPr>
          <w:p w14:paraId="125C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0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C6ECF9" w:sz="4" w:space="0"/>
            </w:tcBorders>
            <w:shd w:val="clear" w:color="auto" w:fill="EDFAFE"/>
            <w:noWrap/>
            <w:vAlign w:val="center"/>
          </w:tcPr>
          <w:p w14:paraId="458A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5E4C6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92" w:type="pct"/>
            <w:tcBorders>
              <w:top w:val="dotted" w:color="auto" w:sz="4" w:space="0"/>
              <w:left w:val="single" w:color="C6ECF9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275F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705B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公共管理、社会保障和社会组织</w:t>
            </w:r>
          </w:p>
        </w:tc>
        <w:tc>
          <w:tcPr>
            <w:tcW w:w="10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C6ECF9" w:sz="4" w:space="0"/>
            </w:tcBorders>
            <w:shd w:val="clear" w:color="auto" w:fill="FFFFFF"/>
            <w:noWrap/>
            <w:vAlign w:val="center"/>
          </w:tcPr>
          <w:p w14:paraId="541D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F74D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92" w:type="pct"/>
            <w:tcBorders>
              <w:top w:val="dotted" w:color="auto" w:sz="4" w:space="0"/>
              <w:left w:val="single" w:color="C6ECF9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noWrap/>
            <w:vAlign w:val="center"/>
          </w:tcPr>
          <w:p w14:paraId="1EBA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noWrap/>
            <w:vAlign w:val="center"/>
          </w:tcPr>
          <w:p w14:paraId="6BE9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金融业</w:t>
            </w:r>
          </w:p>
        </w:tc>
        <w:tc>
          <w:tcPr>
            <w:tcW w:w="10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C6ECF9" w:sz="4" w:space="0"/>
            </w:tcBorders>
            <w:shd w:val="clear" w:color="auto" w:fill="EDFAFE"/>
            <w:noWrap/>
            <w:vAlign w:val="center"/>
          </w:tcPr>
          <w:p w14:paraId="3782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79721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92" w:type="pct"/>
            <w:tcBorders>
              <w:top w:val="dotted" w:color="auto" w:sz="4" w:space="0"/>
              <w:left w:val="single" w:color="C6ECF9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31C1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2472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10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C6ECF9" w:sz="4" w:space="0"/>
            </w:tcBorders>
            <w:shd w:val="clear" w:color="auto" w:fill="FFFFFF"/>
            <w:noWrap/>
            <w:vAlign w:val="center"/>
          </w:tcPr>
          <w:p w14:paraId="223E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796AB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92" w:type="pct"/>
            <w:tcBorders>
              <w:top w:val="dotted" w:color="auto" w:sz="4" w:space="0"/>
              <w:left w:val="single" w:color="C6ECF9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noWrap/>
            <w:vAlign w:val="center"/>
          </w:tcPr>
          <w:p w14:paraId="3529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noWrap/>
            <w:vAlign w:val="center"/>
          </w:tcPr>
          <w:p w14:paraId="2FFB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10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C6ECF9" w:sz="4" w:space="0"/>
            </w:tcBorders>
            <w:shd w:val="clear" w:color="auto" w:fill="EDFAFE"/>
            <w:noWrap/>
            <w:vAlign w:val="center"/>
          </w:tcPr>
          <w:p w14:paraId="236D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7EC0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92" w:type="pct"/>
            <w:tcBorders>
              <w:top w:val="dotted" w:color="auto" w:sz="4" w:space="0"/>
              <w:left w:val="single" w:color="C6ECF9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3686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4EE1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10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C6ECF9" w:sz="4" w:space="0"/>
            </w:tcBorders>
            <w:shd w:val="clear" w:color="auto" w:fill="FFFFFF"/>
            <w:noWrap/>
            <w:vAlign w:val="center"/>
          </w:tcPr>
          <w:p w14:paraId="48F1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D223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92" w:type="pct"/>
            <w:tcBorders>
              <w:top w:val="dotted" w:color="auto" w:sz="4" w:space="0"/>
              <w:left w:val="single" w:color="C6ECF9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noWrap/>
            <w:vAlign w:val="center"/>
          </w:tcPr>
          <w:p w14:paraId="6C98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noWrap/>
            <w:vAlign w:val="center"/>
          </w:tcPr>
          <w:p w14:paraId="5683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采矿业</w:t>
            </w:r>
          </w:p>
        </w:tc>
        <w:tc>
          <w:tcPr>
            <w:tcW w:w="10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C6ECF9" w:sz="4" w:space="0"/>
            </w:tcBorders>
            <w:shd w:val="clear" w:color="auto" w:fill="EDFAFE"/>
            <w:noWrap/>
            <w:vAlign w:val="center"/>
          </w:tcPr>
          <w:p w14:paraId="32B3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9614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92" w:type="pct"/>
            <w:tcBorders>
              <w:top w:val="dotted" w:color="auto" w:sz="4" w:space="0"/>
              <w:left w:val="single" w:color="C6ECF9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0C97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7E49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农、林、牧、渔业</w:t>
            </w:r>
          </w:p>
        </w:tc>
        <w:tc>
          <w:tcPr>
            <w:tcW w:w="10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C6ECF9" w:sz="4" w:space="0"/>
            </w:tcBorders>
            <w:shd w:val="clear" w:color="auto" w:fill="FFFFFF"/>
            <w:noWrap/>
            <w:vAlign w:val="center"/>
          </w:tcPr>
          <w:p w14:paraId="1D64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5CC3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92" w:type="pct"/>
            <w:tcBorders>
              <w:top w:val="dotted" w:color="auto" w:sz="4" w:space="0"/>
              <w:left w:val="single" w:color="C6ECF9" w:sz="4" w:space="0"/>
              <w:bottom w:val="single" w:color="17B2DF" w:sz="4" w:space="0"/>
              <w:right w:val="dotted" w:color="auto" w:sz="4" w:space="0"/>
            </w:tcBorders>
            <w:shd w:val="clear" w:color="auto" w:fill="EDFAFE"/>
            <w:noWrap/>
            <w:vAlign w:val="center"/>
          </w:tcPr>
          <w:p w14:paraId="5428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03" w:type="pct"/>
            <w:tcBorders>
              <w:top w:val="dotted" w:color="auto" w:sz="4" w:space="0"/>
              <w:left w:val="dotted" w:color="auto" w:sz="4" w:space="0"/>
              <w:bottom w:val="single" w:color="17B2DF" w:sz="4" w:space="0"/>
              <w:right w:val="dotted" w:color="auto" w:sz="4" w:space="0"/>
            </w:tcBorders>
            <w:shd w:val="clear" w:color="auto" w:fill="EDFAFE"/>
            <w:noWrap/>
            <w:vAlign w:val="center"/>
          </w:tcPr>
          <w:p w14:paraId="235C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1003" w:type="pct"/>
            <w:tcBorders>
              <w:top w:val="dotted" w:color="auto" w:sz="4" w:space="0"/>
              <w:left w:val="dotted" w:color="auto" w:sz="4" w:space="0"/>
              <w:bottom w:val="single" w:color="17B2DF" w:sz="4" w:space="0"/>
              <w:right w:val="single" w:color="C6ECF9" w:sz="4" w:space="0"/>
            </w:tcBorders>
            <w:shd w:val="clear" w:color="auto" w:fill="EDFAFE"/>
            <w:noWrap/>
            <w:vAlign w:val="center"/>
          </w:tcPr>
          <w:p w14:paraId="188E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 w14:paraId="16CB922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/>
          <w:color w:val="auto"/>
          <w:lang w:eastAsia="zh-CN"/>
        </w:rPr>
      </w:pPr>
      <w:r>
        <w:rPr>
          <w:color w:val="auto"/>
        </w:rPr>
        <w:t xml:space="preserve">表 </w:t>
      </w:r>
      <w:r>
        <w:rPr>
          <w:color w:val="auto"/>
        </w:rPr>
        <w:fldChar w:fldCharType="begin"/>
      </w:r>
      <w:r>
        <w:rPr>
          <w:color w:val="auto"/>
        </w:rPr>
        <w:instrText xml:space="preserve"> SEQ 表 \* ARABIC </w:instrText>
      </w:r>
      <w:r>
        <w:rPr>
          <w:color w:val="auto"/>
        </w:rPr>
        <w:fldChar w:fldCharType="separate"/>
      </w:r>
      <w:r>
        <w:rPr>
          <w:color w:val="auto"/>
        </w:rPr>
        <w:t>2</w:t>
      </w:r>
      <w:r>
        <w:rPr>
          <w:color w:val="auto"/>
        </w:rPr>
        <w:fldChar w:fldCharType="end"/>
      </w:r>
      <w:bookmarkStart w:id="43" w:name="_Toc31094"/>
      <w:r>
        <w:rPr>
          <w:rFonts w:hint="eastAsia"/>
          <w:color w:val="auto"/>
          <w:lang w:eastAsia="zh-CN"/>
        </w:rPr>
        <w:t xml:space="preserve">  武汉科技职业学院2024届毕业生就业单位行业分布</w:t>
      </w:r>
      <w:bookmarkEnd w:id="43"/>
    </w:p>
    <w:p w14:paraId="023A8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0"/>
          <w:szCs w:val="22"/>
          <w:lang w:val="en-US" w:eastAsia="zh-CN"/>
        </w:rPr>
      </w:pPr>
      <w:r>
        <w:rPr>
          <w:rFonts w:hint="eastAsia"/>
          <w:color w:val="auto"/>
          <w:lang w:val="en-US" w:eastAsia="zh-CN"/>
        </w:rPr>
        <w:t>注：本表不含升学及入伍人数。</w:t>
      </w:r>
    </w:p>
    <w:p w14:paraId="336F1D8F">
      <w:pPr>
        <w:pStyle w:val="3"/>
        <w:bidi w:val="0"/>
        <w:rPr>
          <w:color w:val="auto"/>
        </w:rPr>
      </w:pPr>
      <w:bookmarkStart w:id="44" w:name="_Toc16188"/>
      <w:bookmarkStart w:id="45" w:name="_Toc23974"/>
      <w:bookmarkStart w:id="46" w:name="_Toc29287"/>
      <w:r>
        <w:rPr>
          <w:color w:val="auto"/>
        </w:rPr>
        <w:t>3</w:t>
      </w:r>
      <w:r>
        <w:rPr>
          <w:rFonts w:hint="eastAsia"/>
          <w:color w:val="auto"/>
        </w:rPr>
        <w:t>.3就业质量分析</w:t>
      </w:r>
      <w:bookmarkEnd w:id="44"/>
      <w:bookmarkEnd w:id="45"/>
      <w:bookmarkEnd w:id="46"/>
    </w:p>
    <w:p w14:paraId="3223D663">
      <w:pPr>
        <w:pStyle w:val="4"/>
        <w:bidi w:val="0"/>
        <w:rPr>
          <w:color w:val="auto"/>
        </w:rPr>
      </w:pPr>
      <w:bookmarkStart w:id="47" w:name="_Toc17881"/>
      <w:r>
        <w:rPr>
          <w:color w:val="auto"/>
        </w:rPr>
        <w:t>3</w:t>
      </w:r>
      <w:r>
        <w:rPr>
          <w:rFonts w:hint="eastAsia"/>
          <w:color w:val="auto"/>
        </w:rPr>
        <w:t>.3.1调查样本情况</w:t>
      </w:r>
      <w:bookmarkEnd w:id="47"/>
    </w:p>
    <w:p w14:paraId="7C49897D">
      <w:pPr>
        <w:ind w:firstLine="560" w:firstLineChars="200"/>
        <w:jc w:val="left"/>
        <w:rPr>
          <w:rFonts w:ascii="宋体" w:hAnsi="宋体" w:eastAsia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根据对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eastAsia="zh-CN"/>
        </w:rPr>
        <w:t>202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届毕业生进行了就业问卷调查，共发出问卷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735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份，回收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594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份，回收率为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80.82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%,其中有效问卷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513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份，问卷有效率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86.36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%。</w:t>
      </w:r>
    </w:p>
    <w:p w14:paraId="240F936B">
      <w:pPr>
        <w:pStyle w:val="4"/>
        <w:bidi w:val="0"/>
        <w:rPr>
          <w:color w:val="auto"/>
        </w:rPr>
      </w:pPr>
      <w:bookmarkStart w:id="48" w:name="_Toc16045"/>
      <w:r>
        <w:rPr>
          <w:color w:val="auto"/>
        </w:rPr>
        <w:t>3</w:t>
      </w:r>
      <w:r>
        <w:rPr>
          <w:rFonts w:hint="eastAsia"/>
          <w:color w:val="auto"/>
        </w:rPr>
        <w:t>.3.2毕业生薪资水平</w:t>
      </w:r>
      <w:bookmarkEnd w:id="48"/>
    </w:p>
    <w:p w14:paraId="77696CAE">
      <w:pPr>
        <w:ind w:firstLine="560" w:firstLineChars="200"/>
        <w:jc w:val="left"/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根据对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eastAsia="zh-CN"/>
        </w:rPr>
        <w:t>202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届毕业生进行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就业问卷调查，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月收入在3000元以下的占比19%，3000-5000元的占比44%，5000-8000元的占比23%，8000元以上的占比14%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。</w:t>
      </w:r>
    </w:p>
    <w:p w14:paraId="4AA69091">
      <w:pPr>
        <w:ind w:firstLine="420" w:firstLineChars="200"/>
        <w:jc w:val="left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4826000" cy="2743200"/>
            <wp:effectExtent l="4445" t="4445" r="15875" b="10795"/>
            <wp:docPr id="28" name="图表 1" descr="7b0a202020202263686172745265734964223a20223230343736343733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F47F8BF">
      <w:pPr>
        <w:pStyle w:val="6"/>
        <w:ind w:firstLine="420" w:firstLineChars="200"/>
        <w:jc w:val="center"/>
        <w:rPr>
          <w:rFonts w:hint="eastAsia" w:eastAsiaTheme="minorEastAsia"/>
          <w:color w:val="auto"/>
          <w:lang w:eastAsia="zh-CN"/>
        </w:rPr>
      </w:pPr>
      <w:r>
        <w:rPr>
          <w:color w:val="auto"/>
        </w:rPr>
        <w:t xml:space="preserve">图 </w:t>
      </w:r>
      <w:r>
        <w:rPr>
          <w:color w:val="auto"/>
        </w:rPr>
        <w:fldChar w:fldCharType="begin"/>
      </w:r>
      <w:r>
        <w:rPr>
          <w:color w:val="auto"/>
        </w:rPr>
        <w:instrText xml:space="preserve"> SEQ 图 \* ARABIC </w:instrText>
      </w:r>
      <w:r>
        <w:rPr>
          <w:color w:val="auto"/>
        </w:rPr>
        <w:fldChar w:fldCharType="separate"/>
      </w:r>
      <w:r>
        <w:rPr>
          <w:color w:val="auto"/>
        </w:rPr>
        <w:t>8</w:t>
      </w:r>
      <w:r>
        <w:rPr>
          <w:color w:val="auto"/>
        </w:rPr>
        <w:fldChar w:fldCharType="end"/>
      </w:r>
      <w:bookmarkStart w:id="49" w:name="_Toc29939"/>
      <w:r>
        <w:rPr>
          <w:rFonts w:hint="eastAsia"/>
          <w:color w:val="auto"/>
          <w:lang w:eastAsia="zh-CN"/>
        </w:rPr>
        <w:t xml:space="preserve">  武汉科技职业学院2024届毕业生收入水平调查</w:t>
      </w:r>
      <w:bookmarkEnd w:id="49"/>
    </w:p>
    <w:p w14:paraId="3530E80B">
      <w:pPr>
        <w:pStyle w:val="4"/>
        <w:bidi w:val="0"/>
        <w:rPr>
          <w:color w:val="auto"/>
        </w:rPr>
      </w:pPr>
      <w:bookmarkStart w:id="50" w:name="_Toc6527"/>
      <w:r>
        <w:rPr>
          <w:color w:val="auto"/>
        </w:rPr>
        <w:t>3</w:t>
      </w:r>
      <w:r>
        <w:rPr>
          <w:rFonts w:hint="eastAsia"/>
          <w:color w:val="auto"/>
        </w:rPr>
        <w:t>.3.3毕业生就业现状满意度</w:t>
      </w:r>
      <w:bookmarkEnd w:id="50"/>
    </w:p>
    <w:p w14:paraId="4228AA49">
      <w:pPr>
        <w:ind w:firstLine="560" w:firstLineChars="200"/>
        <w:jc w:val="left"/>
        <w:rPr>
          <w:rFonts w:ascii="宋体" w:hAnsi="宋体" w:eastAsia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根据调查问卷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结果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统计，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eastAsia="zh-CN"/>
        </w:rPr>
        <w:t>202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届毕业生对目前工作满意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的占比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为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64.91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%，一般为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31.58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%，不满意为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3.51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%。</w:t>
      </w:r>
    </w:p>
    <w:p w14:paraId="7E6AAA2B">
      <w:pPr>
        <w:ind w:firstLine="420" w:firstLineChars="200"/>
        <w:jc w:val="center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4744720" cy="2588895"/>
            <wp:effectExtent l="4445" t="4445" r="5715" b="43180"/>
            <wp:docPr id="30" name="图表 2" descr="7b0a202020202263686172745265734964223a20223230343736303936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A24F815">
      <w:pPr>
        <w:pStyle w:val="6"/>
        <w:ind w:firstLine="420" w:firstLineChars="200"/>
        <w:jc w:val="center"/>
        <w:rPr>
          <w:rFonts w:hint="eastAsia" w:eastAsiaTheme="minorEastAsia"/>
          <w:color w:val="auto"/>
          <w:lang w:eastAsia="zh-CN"/>
        </w:rPr>
      </w:pPr>
      <w:r>
        <w:rPr>
          <w:color w:val="auto"/>
        </w:rPr>
        <w:t xml:space="preserve">图 </w:t>
      </w:r>
      <w:r>
        <w:rPr>
          <w:color w:val="auto"/>
        </w:rPr>
        <w:fldChar w:fldCharType="begin"/>
      </w:r>
      <w:r>
        <w:rPr>
          <w:color w:val="auto"/>
        </w:rPr>
        <w:instrText xml:space="preserve"> SEQ 图 \* ARABIC </w:instrText>
      </w:r>
      <w:r>
        <w:rPr>
          <w:color w:val="auto"/>
        </w:rPr>
        <w:fldChar w:fldCharType="separate"/>
      </w:r>
      <w:r>
        <w:rPr>
          <w:color w:val="auto"/>
        </w:rPr>
        <w:t>9</w:t>
      </w:r>
      <w:r>
        <w:rPr>
          <w:color w:val="auto"/>
        </w:rPr>
        <w:fldChar w:fldCharType="end"/>
      </w:r>
      <w:bookmarkStart w:id="51" w:name="_Toc9579"/>
      <w:r>
        <w:rPr>
          <w:rFonts w:hint="eastAsia"/>
          <w:color w:val="auto"/>
          <w:lang w:eastAsia="zh-CN"/>
        </w:rPr>
        <w:t xml:space="preserve">  武汉科技职业学院2024届毕业生就业满意度调查</w:t>
      </w:r>
      <w:bookmarkEnd w:id="51"/>
    </w:p>
    <w:p w14:paraId="793F8548"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2"/>
          <w:szCs w:val="22"/>
          <w:lang w:val="en-US" w:eastAsia="zh-CN"/>
        </w:rPr>
        <w:br w:type="page"/>
      </w:r>
    </w:p>
    <w:p w14:paraId="01F0ED3D">
      <w:pPr>
        <w:pStyle w:val="2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color w:val="auto"/>
          <w:lang w:val="en-US" w:eastAsia="zh-CN"/>
        </w:rPr>
      </w:pPr>
      <w:bookmarkStart w:id="52" w:name="_Toc6777"/>
      <w:bookmarkStart w:id="53" w:name="_Toc11662"/>
      <w:bookmarkStart w:id="54" w:name="_Toc9763"/>
      <w:r>
        <w:rPr>
          <w:rFonts w:hint="eastAsia"/>
          <w:color w:val="auto"/>
          <w:lang w:val="en-US" w:eastAsia="zh-CN"/>
        </w:rPr>
        <w:t xml:space="preserve"> </w:t>
      </w:r>
      <w:bookmarkEnd w:id="52"/>
      <w:bookmarkEnd w:id="53"/>
      <w:bookmarkEnd w:id="54"/>
      <w:r>
        <w:rPr>
          <w:rFonts w:hint="eastAsia"/>
          <w:color w:val="auto"/>
          <w:lang w:val="en-US" w:eastAsia="zh-CN"/>
        </w:rPr>
        <w:t>毕业生就业工作举措和指导服务</w:t>
      </w:r>
    </w:p>
    <w:p w14:paraId="5E4224F7">
      <w:pPr>
        <w:ind w:firstLine="560" w:firstLineChars="200"/>
        <w:jc w:val="left"/>
        <w:rPr>
          <w:rFonts w:hint="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</w:rPr>
        <w:t>为贯彻落实好教育部、省教育厅等相关文件精神，我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院</w:t>
      </w:r>
      <w:r>
        <w:rPr>
          <w:rFonts w:hint="eastAsia"/>
          <w:b w:val="0"/>
          <w:bCs w:val="0"/>
          <w:color w:val="auto"/>
          <w:sz w:val="28"/>
          <w:szCs w:val="28"/>
        </w:rPr>
        <w:t>积极开展网上就业服务和就业指导、拓宽就业和升学渠道、强化就业困难帮扶等工作，努力提高毕业生就业质量和就业率</w:t>
      </w: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。</w:t>
      </w:r>
      <w:r>
        <w:rPr>
          <w:rFonts w:hint="eastAsia"/>
          <w:b w:val="0"/>
          <w:bCs w:val="0"/>
          <w:color w:val="auto"/>
          <w:sz w:val="28"/>
          <w:szCs w:val="28"/>
        </w:rPr>
        <w:t>结合我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院</w:t>
      </w:r>
      <w:r>
        <w:rPr>
          <w:rFonts w:hint="eastAsia"/>
          <w:b w:val="0"/>
          <w:bCs w:val="0"/>
          <w:color w:val="auto"/>
          <w:sz w:val="28"/>
          <w:szCs w:val="28"/>
        </w:rPr>
        <w:t>实际情况，现就</w:t>
      </w: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202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b w:val="0"/>
          <w:bCs w:val="0"/>
          <w:color w:val="auto"/>
          <w:sz w:val="28"/>
          <w:szCs w:val="28"/>
        </w:rPr>
        <w:t>届毕业生就业创业工作举措和指导服务如下</w:t>
      </w: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。</w:t>
      </w:r>
    </w:p>
    <w:p w14:paraId="1F1C38C7">
      <w:pPr>
        <w:pStyle w:val="3"/>
        <w:bidi w:val="0"/>
        <w:rPr>
          <w:color w:val="auto"/>
        </w:rPr>
      </w:pPr>
      <w:bookmarkStart w:id="55" w:name="_Toc2871"/>
      <w:bookmarkStart w:id="56" w:name="_Toc22541"/>
      <w:bookmarkStart w:id="57" w:name="_Toc11635"/>
      <w:r>
        <w:rPr>
          <w:rFonts w:hint="eastAsia"/>
          <w:color w:val="auto"/>
          <w:lang w:val="en-US" w:eastAsia="zh-CN"/>
        </w:rPr>
        <w:t>4.1</w:t>
      </w:r>
      <w:r>
        <w:rPr>
          <w:rFonts w:hint="eastAsia"/>
          <w:color w:val="auto"/>
        </w:rPr>
        <w:t>完善工作制度，加强工作规范管理</w:t>
      </w:r>
      <w:bookmarkEnd w:id="55"/>
      <w:bookmarkEnd w:id="56"/>
      <w:bookmarkEnd w:id="57"/>
    </w:p>
    <w:p w14:paraId="248486A2">
      <w:pPr>
        <w:ind w:firstLine="560" w:firstLineChars="200"/>
        <w:jc w:val="left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建立就业统计工作制度</w:t>
      </w:r>
      <w:r>
        <w:rPr>
          <w:rFonts w:hint="eastAsia"/>
          <w:b w:val="0"/>
          <w:bCs w:val="0"/>
          <w:color w:val="auto"/>
          <w:sz w:val="28"/>
          <w:szCs w:val="28"/>
        </w:rPr>
        <w:t>，建全就业状况统计核查机制，严格落实统计工作“四不准”要求，</w:t>
      </w:r>
      <w:r>
        <w:rPr>
          <w:b w:val="0"/>
          <w:bCs w:val="0"/>
          <w:color w:val="auto"/>
          <w:sz w:val="28"/>
          <w:szCs w:val="28"/>
        </w:rPr>
        <w:t>学校先后制定了《学校就业创业工作联系会议制度》、《学</w:t>
      </w:r>
      <w:r>
        <w:rPr>
          <w:rFonts w:hint="eastAsia"/>
          <w:b w:val="0"/>
          <w:bCs w:val="0"/>
          <w:color w:val="auto"/>
          <w:sz w:val="28"/>
          <w:szCs w:val="28"/>
        </w:rPr>
        <w:t>校</w:t>
      </w:r>
      <w:r>
        <w:rPr>
          <w:b w:val="0"/>
          <w:bCs w:val="0"/>
          <w:color w:val="auto"/>
          <w:sz w:val="28"/>
          <w:szCs w:val="28"/>
        </w:rPr>
        <w:t>就业创业工作</w:t>
      </w:r>
      <w:r>
        <w:rPr>
          <w:rFonts w:hint="eastAsia"/>
          <w:b w:val="0"/>
          <w:bCs w:val="0"/>
          <w:color w:val="auto"/>
          <w:sz w:val="28"/>
          <w:szCs w:val="28"/>
        </w:rPr>
        <w:t>统</w:t>
      </w:r>
      <w:r>
        <w:rPr>
          <w:b w:val="0"/>
          <w:bCs w:val="0"/>
          <w:color w:val="auto"/>
          <w:sz w:val="28"/>
          <w:szCs w:val="28"/>
        </w:rPr>
        <w:t>计核查制度》、《学校就业数据及信息通报制度》《学校就业创业工作考核奖励制度》等相关制度，明确责任，做到有奖有罚，有度可依。</w:t>
      </w:r>
    </w:p>
    <w:p w14:paraId="01F43DA0">
      <w:pPr>
        <w:pStyle w:val="3"/>
        <w:bidi w:val="0"/>
        <w:rPr>
          <w:rFonts w:hint="eastAsia"/>
          <w:color w:val="auto"/>
          <w:lang w:val="en-US" w:eastAsia="zh-CN"/>
        </w:rPr>
      </w:pPr>
      <w:bookmarkStart w:id="58" w:name="_Toc28689"/>
      <w:bookmarkStart w:id="59" w:name="_Toc11261"/>
      <w:bookmarkStart w:id="60" w:name="_Toc11605"/>
      <w:r>
        <w:rPr>
          <w:rFonts w:hint="eastAsia"/>
          <w:color w:val="auto"/>
          <w:lang w:val="en-US" w:eastAsia="zh-CN"/>
        </w:rPr>
        <w:t>4.2加强学习，努力提高队伍素质</w:t>
      </w:r>
      <w:bookmarkEnd w:id="58"/>
      <w:bookmarkEnd w:id="59"/>
      <w:bookmarkEnd w:id="60"/>
    </w:p>
    <w:p w14:paraId="6551EA7C">
      <w:pPr>
        <w:ind w:firstLine="560" w:firstLineChars="20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1、加强政治理论学习，提高思想道德素质。在思想上、行动上同党中央保持高度一致，深入贯彻《国务院关于加快发展现代职业教育的决定》和习总书记在全国职教工作会议上的重要批示，坚持以立德树人为根本，以服务发展为宗旨，以促进就业为导向，不断适应技术进步和生产方式变革，坚持以立德树人为根本，以服务发展为宗旨，以促进就业为导向，不断适应技术进步和生产方式变革以及社会公共服务的需要，深化体制机制改革，不断提升产教融合、校企合作水平，为地方经济社会发展培养更多高素质劳动者和技术技能人才。</w:t>
      </w:r>
    </w:p>
    <w:p w14:paraId="4B72D2AB">
      <w:pPr>
        <w:ind w:firstLine="560" w:firstLineChars="20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、健全就业台账管理。学院将进一步健全毕业生就业台账管理体系，确保所有毕业生的就业信息得到完整记录和妥善保存。定期对台账数据进行审核和整理，及时更新毕业生的就业状态，提供准确的统计数据和就业情况。</w:t>
      </w:r>
    </w:p>
    <w:p w14:paraId="591EAAD9">
      <w:pPr>
        <w:ind w:firstLine="560" w:firstLineChars="20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3、明确岗位目标，落实工作管理规范。加快建立一套有利于提高服务质量、有利于提升管理水平的规范化、标准化、体系化的就业工作制度，积极拓展工作内涵，更新工作理念，突出精细化意识，加强工作责任落实，确保学校就业工作平稳进行。</w:t>
      </w:r>
    </w:p>
    <w:p w14:paraId="74AA087B">
      <w:pPr>
        <w:pStyle w:val="3"/>
        <w:bidi w:val="0"/>
        <w:rPr>
          <w:color w:val="auto"/>
        </w:rPr>
      </w:pPr>
      <w:bookmarkStart w:id="61" w:name="_Toc4931"/>
      <w:bookmarkStart w:id="62" w:name="_Toc16652"/>
      <w:bookmarkStart w:id="63" w:name="_Toc4056"/>
      <w:r>
        <w:rPr>
          <w:rFonts w:hint="eastAsia"/>
          <w:color w:val="auto"/>
          <w:lang w:val="en-US" w:eastAsia="zh-CN"/>
        </w:rPr>
        <w:t>4.3</w:t>
      </w:r>
      <w:r>
        <w:rPr>
          <w:rFonts w:hint="eastAsia"/>
          <w:color w:val="auto"/>
        </w:rPr>
        <w:t>加大力度做好困难毕业生的帮扶工作</w:t>
      </w:r>
      <w:bookmarkEnd w:id="61"/>
      <w:bookmarkEnd w:id="62"/>
      <w:bookmarkEnd w:id="63"/>
    </w:p>
    <w:p w14:paraId="72642DA0">
      <w:pPr>
        <w:ind w:firstLine="560" w:firstLineChars="200"/>
        <w:jc w:val="left"/>
        <w:rPr>
          <w:rFonts w:cs="Arial" w:asciiTheme="minorEastAsia" w:hAnsiTheme="minorEastAsia"/>
          <w:b w:val="0"/>
          <w:bCs w:val="0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b w:val="0"/>
          <w:bCs w:val="0"/>
          <w:color w:val="auto"/>
          <w:sz w:val="28"/>
          <w:szCs w:val="28"/>
        </w:rPr>
        <w:t>及时掌握困难毕业生情况，针对贫困家庭、少数民族、身体残疾等特殊情况毕业生进行“一对一”帮扶措</w:t>
      </w:r>
      <w:r>
        <w:rPr>
          <w:rFonts w:hint="eastAsia" w:cs="Arial" w:asciiTheme="minorEastAsia" w:hAnsiTheme="minorEastAsia"/>
          <w:b w:val="0"/>
          <w:bCs w:val="0"/>
          <w:color w:val="auto"/>
          <w:sz w:val="28"/>
          <w:szCs w:val="28"/>
          <w:lang w:val="en-US" w:eastAsia="zh-CN"/>
        </w:rPr>
        <w:t>施</w:t>
      </w:r>
      <w:r>
        <w:rPr>
          <w:rFonts w:hint="eastAsia" w:cs="Arial" w:asciiTheme="minorEastAsia" w:hAnsiTheme="minorEastAsia"/>
          <w:b w:val="0"/>
          <w:bCs w:val="0"/>
          <w:color w:val="auto"/>
          <w:sz w:val="28"/>
          <w:szCs w:val="28"/>
        </w:rPr>
        <w:t>，具体工作如下：</w:t>
      </w:r>
    </w:p>
    <w:p w14:paraId="02BF23E5">
      <w:pPr>
        <w:ind w:firstLine="560" w:firstLineChars="200"/>
        <w:jc w:val="left"/>
        <w:rPr>
          <w:rFonts w:cs="Arial" w:asciiTheme="minorEastAsia" w:hAnsiTheme="minorEastAsia"/>
          <w:b w:val="0"/>
          <w:bCs w:val="0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b w:val="0"/>
          <w:bCs w:val="0"/>
          <w:color w:val="auto"/>
          <w:sz w:val="28"/>
          <w:szCs w:val="28"/>
        </w:rPr>
        <w:t>1、建立困难学生帮扶台帐，“一对一”就业指导，了解学生就业意愿，有针对性地进行就业信息推送。并加大学生就业心理引导，帮助学生尽早就业。</w:t>
      </w:r>
    </w:p>
    <w:p w14:paraId="5C56BB92">
      <w:pPr>
        <w:ind w:firstLine="560" w:firstLineChars="200"/>
        <w:jc w:val="left"/>
        <w:rPr>
          <w:rFonts w:cs="Arial" w:asciiTheme="minorEastAsia" w:hAnsiTheme="minorEastAsia"/>
          <w:b w:val="0"/>
          <w:bCs w:val="0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b w:val="0"/>
          <w:bCs w:val="0"/>
          <w:color w:val="auto"/>
          <w:sz w:val="28"/>
          <w:szCs w:val="28"/>
        </w:rPr>
        <w:t>2、及时宣传国家和地方政府出台的就业补贴政策，为符合条件的学生办理申请手续，做到应补尽补，</w:t>
      </w:r>
      <w:r>
        <w:rPr>
          <w:rFonts w:hint="eastAsia" w:cs="Arial" w:asciiTheme="minorEastAsia" w:hAnsiTheme="minorEastAsia"/>
          <w:b w:val="0"/>
          <w:bCs w:val="0"/>
          <w:color w:val="auto"/>
          <w:sz w:val="28"/>
          <w:szCs w:val="28"/>
        </w:rPr>
        <w:t>不漏一生。</w:t>
      </w:r>
    </w:p>
    <w:p w14:paraId="744AD71C">
      <w:pPr>
        <w:ind w:firstLine="560" w:firstLineChars="200"/>
        <w:jc w:val="left"/>
        <w:rPr>
          <w:rFonts w:hint="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cs="Arial" w:asciiTheme="minorEastAsia" w:hAnsiTheme="minorEastAsia"/>
          <w:b w:val="0"/>
          <w:bCs w:val="0"/>
          <w:color w:val="auto"/>
          <w:sz w:val="28"/>
          <w:szCs w:val="28"/>
        </w:rPr>
        <w:t>3、学校</w:t>
      </w:r>
      <w:r>
        <w:rPr>
          <w:rFonts w:hint="eastAsia" w:cs="Arial" w:asciiTheme="minorEastAsia" w:hAnsiTheme="minorEastAsia"/>
          <w:b w:val="0"/>
          <w:bCs w:val="0"/>
          <w:color w:val="auto"/>
          <w:sz w:val="28"/>
          <w:szCs w:val="28"/>
          <w:lang w:val="en-US" w:eastAsia="zh-CN"/>
        </w:rPr>
        <w:t>设立</w:t>
      </w:r>
      <w:r>
        <w:rPr>
          <w:rFonts w:hint="eastAsia" w:cs="Arial" w:asciiTheme="minorEastAsia" w:hAnsiTheme="minorEastAsia"/>
          <w:b w:val="0"/>
          <w:bCs w:val="0"/>
          <w:color w:val="auto"/>
          <w:sz w:val="28"/>
          <w:szCs w:val="28"/>
        </w:rPr>
        <w:t>专项资金针对就业及家庭困难的学生进行补助，补助项目包括</w:t>
      </w:r>
      <w:r>
        <w:rPr>
          <w:rFonts w:hint="eastAsia" w:cs="Arial" w:asciiTheme="minorEastAsia" w:hAnsiTheme="minorEastAsia"/>
          <w:b w:val="0"/>
          <w:bCs w:val="0"/>
          <w:color w:val="auto"/>
          <w:sz w:val="28"/>
          <w:szCs w:val="28"/>
          <w:lang w:val="en-US" w:eastAsia="zh-CN"/>
        </w:rPr>
        <w:t>求职途中产生的交通费</w:t>
      </w:r>
      <w:r>
        <w:rPr>
          <w:rFonts w:hint="eastAsia" w:cs="Arial" w:asciiTheme="minorEastAsia" w:hAnsiTheme="minorEastAsia"/>
          <w:b w:val="0"/>
          <w:bCs w:val="0"/>
          <w:color w:val="auto"/>
          <w:sz w:val="28"/>
          <w:szCs w:val="28"/>
        </w:rPr>
        <w:t>，生活费</w:t>
      </w:r>
      <w:r>
        <w:rPr>
          <w:rFonts w:hint="eastAsia" w:cs="Arial" w:asciiTheme="minorEastAsia" w:hAnsiTheme="minorEastAsia"/>
          <w:b w:val="0"/>
          <w:bCs w:val="0"/>
          <w:color w:val="auto"/>
          <w:sz w:val="28"/>
          <w:szCs w:val="28"/>
        </w:rPr>
        <w:t>等项目。</w:t>
      </w:r>
    </w:p>
    <w:p w14:paraId="60D11F7C">
      <w:pPr>
        <w:pStyle w:val="3"/>
        <w:bidi w:val="0"/>
        <w:rPr>
          <w:rFonts w:hint="eastAsia"/>
          <w:color w:val="auto"/>
          <w:lang w:val="en-US" w:eastAsia="zh-CN"/>
        </w:rPr>
      </w:pPr>
      <w:bookmarkStart w:id="64" w:name="_Toc11069"/>
      <w:bookmarkStart w:id="65" w:name="_Toc20458"/>
      <w:bookmarkStart w:id="66" w:name="_Toc30658"/>
      <w:r>
        <w:rPr>
          <w:rFonts w:hint="eastAsia"/>
          <w:color w:val="auto"/>
          <w:lang w:val="en-US" w:eastAsia="zh-CN"/>
        </w:rPr>
        <w:t>4.4深化就业推荐与安置工作，确保就业路径畅通无阻</w:t>
      </w:r>
      <w:bookmarkEnd w:id="64"/>
      <w:bookmarkEnd w:id="65"/>
      <w:bookmarkEnd w:id="66"/>
    </w:p>
    <w:p w14:paraId="71658FAF">
      <w:pPr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1、</w:t>
      </w:r>
      <w:r>
        <w:rPr>
          <w:rFonts w:hint="eastAsia"/>
          <w:b w:val="0"/>
          <w:bCs w:val="0"/>
          <w:color w:val="auto"/>
          <w:sz w:val="28"/>
          <w:szCs w:val="28"/>
        </w:rPr>
        <w:t>坚持续强化毕业生就业指导力度，重点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引导学生树立</w:t>
      </w:r>
      <w:r>
        <w:rPr>
          <w:rFonts w:hint="eastAsia"/>
          <w:b w:val="0"/>
          <w:bCs w:val="0"/>
          <w:color w:val="auto"/>
          <w:sz w:val="28"/>
          <w:szCs w:val="28"/>
        </w:rPr>
        <w:t>坚韧不拔的奋斗精神、吃苦耐劳的职业素养、爱岗敬业的职业态度，同时涵盖就业观念塑造、求职策略传授、创新创业启发等关键领域。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学院</w:t>
      </w:r>
      <w:r>
        <w:rPr>
          <w:rFonts w:hint="eastAsia"/>
          <w:b w:val="0"/>
          <w:bCs w:val="0"/>
          <w:color w:val="auto"/>
          <w:sz w:val="28"/>
          <w:szCs w:val="28"/>
        </w:rPr>
        <w:t>致力于引导学生树立“先实践就业，后精准择业，终至勇于创业”的理性观念，全方位提升毕业生的就业竞争力。</w:t>
      </w:r>
    </w:p>
    <w:p w14:paraId="025D8A28">
      <w:pPr>
        <w:ind w:firstLine="560" w:firstLineChars="20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、积极开展人才需求市场调研，紧密加强学校与企业的交流合作，构建高效运行的就业服务网络，不断拓展和优化就业渠道。我们遵循“主动对接市场，诚邀企业入驻”的就业工作原则，为毕业生搭建更多元化、高质量的就业平台，提供精准细致的就业推荐服务。</w:t>
      </w:r>
    </w:p>
    <w:p w14:paraId="2C11F96B">
      <w:pPr>
        <w:ind w:firstLine="560" w:firstLineChars="20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3、加强对学生顶岗实习期间的监管与指导，以及毕业生就业后的跟踪服务与管理，力求提升实习与就业的整体质量。在学生步入工作岗位后，我们实施定期与不定期相结合的跟踪调查与回访机制，深入了解学生的思想波动、工作表现、职业态度、能力展现及面临的挑战与难题。通过关怀、激励与实质性帮助，确保毕业生能够安心工作、保持积极心态，在各自岗位上勤勉奋进，不断学习成长，充分展现个人才华与价值。</w:t>
      </w:r>
    </w:p>
    <w:p w14:paraId="57DB0789">
      <w:pPr>
        <w:pStyle w:val="3"/>
        <w:bidi w:val="0"/>
        <w:rPr>
          <w:rFonts w:hint="eastAsia"/>
          <w:color w:val="auto"/>
          <w:lang w:val="en-US" w:eastAsia="zh-CN"/>
        </w:rPr>
      </w:pPr>
      <w:bookmarkStart w:id="67" w:name="_Toc20663"/>
      <w:bookmarkStart w:id="68" w:name="_Toc8972"/>
      <w:bookmarkStart w:id="69" w:name="_Toc25223"/>
      <w:r>
        <w:rPr>
          <w:rFonts w:hint="eastAsia"/>
          <w:color w:val="auto"/>
          <w:lang w:val="en-US" w:eastAsia="zh-CN"/>
        </w:rPr>
        <w:t>4.5</w:t>
      </w:r>
      <w:r>
        <w:rPr>
          <w:rFonts w:hint="eastAsia"/>
          <w:color w:val="auto"/>
        </w:rPr>
        <w:t>积极推进</w:t>
      </w:r>
      <w:r>
        <w:rPr>
          <w:rFonts w:hint="eastAsia"/>
          <w:color w:val="auto"/>
          <w:lang w:val="en-US" w:eastAsia="zh-CN"/>
        </w:rPr>
        <w:t>校企合作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val="en-US" w:eastAsia="zh-CN"/>
        </w:rPr>
        <w:t>打造校企</w:t>
      </w:r>
      <w:r>
        <w:rPr>
          <w:rFonts w:hint="eastAsia"/>
          <w:color w:val="auto"/>
        </w:rPr>
        <w:t>资源共享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合作办学</w:t>
      </w:r>
      <w:r>
        <w:rPr>
          <w:rFonts w:hint="eastAsia"/>
          <w:color w:val="auto"/>
          <w:lang w:val="en-US" w:eastAsia="zh-CN"/>
        </w:rPr>
        <w:t>模式</w:t>
      </w:r>
      <w:bookmarkEnd w:id="67"/>
      <w:bookmarkEnd w:id="68"/>
      <w:bookmarkEnd w:id="69"/>
    </w:p>
    <w:p w14:paraId="69AF7496">
      <w:pPr>
        <w:ind w:firstLine="560" w:firstLineChars="20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持续开展“访企拓岗”提质行动。持续深入开展“高校书记校长访企拓岗促就业专项行动”，有针对性地拓展市场性就业岗位。学院领导班子立足毕业生求职需求，组织了多次形式多样的校企供需对接活动，想方设法为毕业生开拓就业新空间。在稳定好原有就业基地的同时，学院积极联系考察新的用人单位，尤其加大了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和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以设备制造、船舶制造、车辆制造为主的省内用人单位的合作，为开拓就业岗位，学院组织专班赴无锡地铁，杭州地铁、金华市轨道交通集团运营有限公司、杭海城际铁路盐官车辆基地等大型国有轨道交通运输、制造企业洽谈，达成多项建设性合作意向。同时，学院与区人力资源局保持密切联系，及时掌握最新的就业动态,拓宽就业渠道。2024年6月20日，学院在区政府的大力支持下，在校园内组织了“才聚荆楚-百县进百校”专项行动招聘会，进一步促进了学生就业工作。</w:t>
      </w:r>
    </w:p>
    <w:p w14:paraId="6E0C3D9D">
      <w:pPr>
        <w:pStyle w:val="3"/>
        <w:bidi w:val="0"/>
        <w:rPr>
          <w:rFonts w:hint="default"/>
          <w:color w:val="auto"/>
          <w:lang w:val="en-US" w:eastAsia="zh-CN"/>
        </w:rPr>
      </w:pPr>
      <w:bookmarkStart w:id="70" w:name="_Toc14196"/>
      <w:bookmarkStart w:id="71" w:name="_Toc21013"/>
      <w:bookmarkStart w:id="72" w:name="_Toc9117"/>
      <w:r>
        <w:rPr>
          <w:rFonts w:hint="eastAsia"/>
          <w:color w:val="auto"/>
          <w:lang w:val="en-US" w:eastAsia="zh-CN"/>
        </w:rPr>
        <w:t>4.6重视就业指导课程，打造全程化就业素养培育体系</w:t>
      </w:r>
      <w:bookmarkEnd w:id="70"/>
      <w:bookmarkEnd w:id="71"/>
      <w:bookmarkEnd w:id="72"/>
    </w:p>
    <w:p w14:paraId="404871EF">
      <w:pPr>
        <w:ind w:firstLine="560" w:firstLineChars="200"/>
        <w:jc w:val="left"/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cs="Arial" w:asciiTheme="minorEastAsia" w:hAnsiTheme="minorEastAsia"/>
          <w:b w:val="0"/>
          <w:bCs w:val="0"/>
          <w:color w:val="auto"/>
          <w:sz w:val="28"/>
          <w:szCs w:val="28"/>
          <w:lang w:val="en-US" w:eastAsia="zh-CN"/>
        </w:rPr>
        <w:t>1、</w:t>
      </w:r>
      <w:r>
        <w:rPr>
          <w:rFonts w:cs="Arial" w:asciiTheme="minorEastAsia" w:hAnsiTheme="minorEastAsia" w:eastAsiaTheme="minorEastAsia"/>
          <w:b w:val="0"/>
          <w:bCs w:val="0"/>
          <w:color w:val="auto"/>
          <w:sz w:val="28"/>
          <w:szCs w:val="28"/>
        </w:rPr>
        <w:t>开设就业指导课程。</w:t>
      </w:r>
      <w:r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  <w:lang w:val="en-US" w:eastAsia="zh-CN"/>
        </w:rPr>
        <w:t>在学生培育上，我院将就业意识培养、就业素养培训与就业信息服务融入学生在校教育的全过程之中，具体来说：在全年级尤其是大一年级课堂教学课程思政植入过程中，加大就业意识的宣讲力度，从大一课堂开始引导学生</w:t>
      </w:r>
      <w:r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</w:rPr>
        <w:t>树立正确的择业观和</w:t>
      </w:r>
      <w:r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  <w:lang w:val="en-US" w:eastAsia="zh-CN"/>
        </w:rPr>
        <w:t>薪酬</w:t>
      </w:r>
      <w:r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</w:rPr>
        <w:t>观，做好就业前的思想准备和心理准备，鼓励</w:t>
      </w:r>
      <w:r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  <w:lang w:val="en-US" w:eastAsia="zh-CN"/>
        </w:rPr>
        <w:t>学</w:t>
      </w:r>
      <w:r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</w:rPr>
        <w:t>生“先就业，后择业，</w:t>
      </w:r>
      <w:r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  <w:lang w:val="en-US" w:eastAsia="zh-CN"/>
        </w:rPr>
        <w:t>谨慎</w:t>
      </w:r>
      <w:r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</w:rPr>
        <w:t>创业”</w:t>
      </w:r>
      <w:r>
        <w:rPr>
          <w:rFonts w:hint="eastAsia" w:cs="Arial" w:asciiTheme="minorEastAsia" w:hAnsiTheme="minorEastAsia"/>
          <w:b w:val="0"/>
          <w:bCs w:val="0"/>
          <w:color w:val="auto"/>
          <w:sz w:val="28"/>
          <w:szCs w:val="28"/>
          <w:lang w:eastAsia="zh-CN"/>
        </w:rPr>
        <w:t>。</w:t>
      </w:r>
    </w:p>
    <w:p w14:paraId="7E679A85">
      <w:pPr>
        <w:ind w:firstLine="560" w:firstLineChars="200"/>
        <w:jc w:val="left"/>
        <w:rPr>
          <w:rFonts w:cs="Arial" w:asciiTheme="minorEastAsia" w:hAnsiTheme="minorEastAsia" w:eastAsiaTheme="minorEastAsia"/>
          <w:b w:val="0"/>
          <w:bCs w:val="0"/>
          <w:color w:val="auto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  <w:lang w:val="en-US" w:eastAsia="zh-CN"/>
        </w:rPr>
        <w:t>在大二年级侧重</w:t>
      </w:r>
      <w:r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</w:rPr>
        <w:t>就业技能</w:t>
      </w:r>
      <w:r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  <w:lang w:val="en-US" w:eastAsia="zh-CN"/>
        </w:rPr>
        <w:t>和职业素养提升</w:t>
      </w:r>
      <w:r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</w:rPr>
        <w:t>，</w:t>
      </w:r>
      <w:r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  <w:lang w:val="en-US" w:eastAsia="zh-CN"/>
        </w:rPr>
        <w:t>将就业前的职业素养提高培训前移至岗位实习开始前进行，让</w:t>
      </w:r>
      <w:r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</w:rPr>
        <w:t>毕业生</w:t>
      </w:r>
      <w:r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  <w:lang w:val="en-US" w:eastAsia="zh-CN"/>
        </w:rPr>
        <w:t>在实践教育中，掌握好撰写</w:t>
      </w:r>
      <w:r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</w:rPr>
        <w:t>就业自荐书、</w:t>
      </w:r>
      <w:r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  <w:lang w:val="en-US" w:eastAsia="zh-CN"/>
        </w:rPr>
        <w:t>撰写</w:t>
      </w:r>
      <w:r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</w:rPr>
        <w:t>求职简历</w:t>
      </w:r>
      <w:r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  <w:lang w:val="en-US" w:eastAsia="zh-CN"/>
        </w:rPr>
        <w:t>礼貌得体</w:t>
      </w:r>
      <w:r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</w:rPr>
        <w:t>着装、</w:t>
      </w:r>
      <w:r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  <w:lang w:val="en-US" w:eastAsia="zh-CN"/>
        </w:rPr>
        <w:t>沉着冷静面试</w:t>
      </w:r>
      <w:r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</w:rPr>
        <w:t>等</w:t>
      </w:r>
      <w:r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  <w:lang w:val="en-US" w:eastAsia="zh-CN"/>
        </w:rPr>
        <w:t>实用技能</w:t>
      </w:r>
      <w:r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</w:rPr>
        <w:t>。</w:t>
      </w:r>
      <w:r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  <w:lang w:val="en-US" w:eastAsia="zh-CN"/>
        </w:rPr>
        <w:t>鼓励学生参军、专升本，支持学生报考公务员、选调生、村官等，积极扩展其他就业途径，并组织老师有针对性的对参加专升本的学生进行辅导，在一定程度上缓解了就业压力。对毕业年级学生多样化的就业需求，我院为每一位</w:t>
      </w:r>
      <w:r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</w:rPr>
        <w:t>毕业生</w:t>
      </w:r>
      <w:r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  <w:lang w:val="en-US" w:eastAsia="zh-CN"/>
        </w:rPr>
        <w:t>安排了指导老师，在就业择业事宜上为学生答疑解惑</w:t>
      </w:r>
      <w:r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  <w:lang w:eastAsia="zh-CN"/>
        </w:rPr>
        <w:t>。</w:t>
      </w:r>
      <w:r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  <w:lang w:val="en-US" w:eastAsia="zh-CN"/>
        </w:rPr>
        <w:t>对于困难群体毕业生，学院建立专门的帮扶机制，加大对其就业情况的跟踪与辅导。通过与用人单位的沟通，争取更多的就业机会，并提供个性化的职业规划和择业建议，帮助他们克服就业中可能遇到的困难。</w:t>
      </w:r>
    </w:p>
    <w:p w14:paraId="0EED5D41">
      <w:pPr>
        <w:numPr>
          <w:ilvl w:val="0"/>
          <w:numId w:val="2"/>
        </w:numPr>
        <w:ind w:firstLine="560" w:firstLineChars="200"/>
        <w:jc w:val="left"/>
        <w:rPr>
          <w:rFonts w:cs="Arial" w:asciiTheme="minorEastAsia" w:hAnsiTheme="minorEastAsia"/>
          <w:b w:val="0"/>
          <w:bCs w:val="0"/>
          <w:color w:val="auto"/>
          <w:sz w:val="28"/>
          <w:szCs w:val="28"/>
        </w:rPr>
      </w:pPr>
      <w:r>
        <w:rPr>
          <w:rFonts w:cs="Arial" w:asciiTheme="minorEastAsia" w:hAnsiTheme="minorEastAsia"/>
          <w:b w:val="0"/>
          <w:bCs w:val="0"/>
          <w:color w:val="auto"/>
          <w:sz w:val="28"/>
          <w:szCs w:val="28"/>
        </w:rPr>
        <w:t>开展个性化就业咨询。通过就业信息网、微信等方式为本校毕业生开展“一对一”就业咨询，咨询内容包括简历诊断、生涯规划、求职指导、创业辅导等。</w:t>
      </w:r>
    </w:p>
    <w:p w14:paraId="4218AFE3">
      <w:pPr>
        <w:numPr>
          <w:ilvl w:val="0"/>
          <w:numId w:val="2"/>
        </w:numPr>
        <w:ind w:firstLine="560" w:firstLineChars="200"/>
        <w:jc w:val="left"/>
        <w:rPr>
          <w:rFonts w:cs="Arial" w:asciiTheme="minorEastAsia" w:hAnsiTheme="minorEastAsia"/>
          <w:b w:val="0"/>
          <w:bCs w:val="0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b w:val="0"/>
          <w:bCs w:val="0"/>
          <w:color w:val="auto"/>
          <w:sz w:val="28"/>
          <w:szCs w:val="28"/>
          <w:lang w:val="en-US" w:eastAsia="zh-CN"/>
        </w:rPr>
        <w:t>充分利用现代信息技术手段，如建立就业信息平台、开展线上指导服务等方式，提高就业指导服务的效率和覆盖面。</w:t>
      </w:r>
    </w:p>
    <w:p w14:paraId="1250BA86">
      <w:pPr>
        <w:pStyle w:val="3"/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4.7多措并举，鼓励毕业生专项就业</w:t>
      </w:r>
    </w:p>
    <w:p w14:paraId="71295CB6">
      <w:pPr>
        <w:widowControl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1、订单培养，绿色就业。</w:t>
      </w:r>
    </w:p>
    <w:p w14:paraId="7323A7F5">
      <w:pPr>
        <w:widowControl/>
        <w:ind w:firstLine="560" w:firstLineChars="200"/>
        <w:jc w:val="left"/>
        <w:rPr>
          <w:rFonts w:ascii="宋体" w:hAnsi="宋体" w:eastAsia="宋体" w:cs="宋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学校坚持以就业为导向，努力增强专业设置与产业结构调整的适应性，实行理论教学与实践教学的双轨并行，大力推进课程内容与职业标准，教学过程与生产过程“三对接”，形成了独俱特色的“教学、实训、技能鉴定、和生产经营”“四位一体”人才培养模式。先后与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武汉地铁、深圳地铁、南京地铁、宁波地铁、光谷有轨电车、武汉恒耀机车、中铁通温州公司、中冶宝钢技术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、电商企业、建筑及装饰等多家企业建立了良好的合作关系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为学生就业创业提供强有力的保障。</w:t>
      </w:r>
    </w:p>
    <w:p w14:paraId="69AD4F1D">
      <w:pPr>
        <w:widowControl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学历提升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圆梦本科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。</w:t>
      </w:r>
    </w:p>
    <w:p w14:paraId="6270AE7B">
      <w:pPr>
        <w:widowControl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为了进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步提高职业能力，圆梦学生本科学历提升，学校建立了自学考试“专套本”的服务供给与普通“专升本”的升学通道，努力提高学生的就业竞争力。学生在校期间，可以通过参加高等教育自学考试本科段的学习，实行专本套读，成绩合格后，取得高等教育自学考试本科学历；学生毕业时，还可参加全省普通高校的“专升本”考试，学校将针对学习成绩较好的学生，开办对口升学辅导班，为学生到普通本科院校提供继续深造的机会。</w:t>
      </w:r>
    </w:p>
    <w:p w14:paraId="1541C140">
      <w:pPr>
        <w:widowControl/>
        <w:numPr>
          <w:ilvl w:val="0"/>
          <w:numId w:val="0"/>
        </w:numPr>
        <w:ind w:leftChars="200"/>
        <w:jc w:val="left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</w:p>
    <w:p w14:paraId="2F05DE3C">
      <w:pPr>
        <w:widowControl/>
        <w:numPr>
          <w:ilvl w:val="0"/>
          <w:numId w:val="0"/>
        </w:numPr>
        <w:ind w:leftChars="200"/>
        <w:jc w:val="left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3、参军入伍，从戎报国。</w:t>
      </w:r>
    </w:p>
    <w:p w14:paraId="0EAC30FA">
      <w:pPr>
        <w:widowControl/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学校坚持积极响应国家号召，全力配合地方武装部工作。学校征兵办公室牵头，成立2024届毕业生征兵领导小组，健全完善征兵优惠措施及实施办法，落实优抚优待及资助政策，对服役返学学生优先获得评优选先资格。积极与地方武装部沟通协调，确保征兵政策的准确传达和顺利实施。深入学生群体，开展形式多样的宣传动员活动。通过宣讲会、座谈会、展板展示等多种形式，通过一系列宣传动员、政策讲解和选拔流程，成功吸引了大量有志青年报名参军。在征兵过程中，学校还注重培养学生的国防意识和爱国情怀，让学生们更加深入地了解了军人使命，进一步坚定投身军营的决心。</w:t>
      </w:r>
    </w:p>
    <w:sectPr>
      <w:footerReference r:id="rId7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11080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1AABD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797F6"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9BF4F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933AB0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933AB0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299A5"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566555"/>
    <w:multiLevelType w:val="singleLevel"/>
    <w:tmpl w:val="8F566555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EEA0D5F5"/>
    <w:multiLevelType w:val="singleLevel"/>
    <w:tmpl w:val="EEA0D5F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ZDVhNDRiNDE1MWZiMjgzZjhjYjJjNGMwZjk4YzMifQ=="/>
  </w:docVars>
  <w:rsids>
    <w:rsidRoot w:val="002145F9"/>
    <w:rsid w:val="000774BC"/>
    <w:rsid w:val="00087D57"/>
    <w:rsid w:val="00107BC5"/>
    <w:rsid w:val="00181C5C"/>
    <w:rsid w:val="001F05A0"/>
    <w:rsid w:val="002145F9"/>
    <w:rsid w:val="00253057"/>
    <w:rsid w:val="00280436"/>
    <w:rsid w:val="002E4D38"/>
    <w:rsid w:val="00304BA3"/>
    <w:rsid w:val="00314A5E"/>
    <w:rsid w:val="003450DF"/>
    <w:rsid w:val="003841E2"/>
    <w:rsid w:val="00407507"/>
    <w:rsid w:val="004311EB"/>
    <w:rsid w:val="0045236F"/>
    <w:rsid w:val="00512B00"/>
    <w:rsid w:val="00591E93"/>
    <w:rsid w:val="006933CA"/>
    <w:rsid w:val="007B22E6"/>
    <w:rsid w:val="007D717A"/>
    <w:rsid w:val="0090559D"/>
    <w:rsid w:val="00931174"/>
    <w:rsid w:val="00990A5B"/>
    <w:rsid w:val="009B3736"/>
    <w:rsid w:val="009C1C49"/>
    <w:rsid w:val="00A80C33"/>
    <w:rsid w:val="00AD35C9"/>
    <w:rsid w:val="00AE4A07"/>
    <w:rsid w:val="00B134DB"/>
    <w:rsid w:val="00B17AAD"/>
    <w:rsid w:val="00BB2E10"/>
    <w:rsid w:val="00BC4C92"/>
    <w:rsid w:val="00BC4CAC"/>
    <w:rsid w:val="00BE798B"/>
    <w:rsid w:val="00C83749"/>
    <w:rsid w:val="00D57999"/>
    <w:rsid w:val="00D833BE"/>
    <w:rsid w:val="00D85E10"/>
    <w:rsid w:val="00E1020B"/>
    <w:rsid w:val="00EE77CA"/>
    <w:rsid w:val="00F075FC"/>
    <w:rsid w:val="00F1007C"/>
    <w:rsid w:val="00F211EF"/>
    <w:rsid w:val="00F67205"/>
    <w:rsid w:val="02AD2A4A"/>
    <w:rsid w:val="05C17A4F"/>
    <w:rsid w:val="06672A66"/>
    <w:rsid w:val="0730327F"/>
    <w:rsid w:val="0CE003DA"/>
    <w:rsid w:val="0CF51428"/>
    <w:rsid w:val="10DC01A2"/>
    <w:rsid w:val="16490A27"/>
    <w:rsid w:val="16B51CA2"/>
    <w:rsid w:val="175C2F79"/>
    <w:rsid w:val="1B9E2C15"/>
    <w:rsid w:val="1FCE2967"/>
    <w:rsid w:val="22FA68FC"/>
    <w:rsid w:val="23623518"/>
    <w:rsid w:val="23B5447A"/>
    <w:rsid w:val="25131F3A"/>
    <w:rsid w:val="27D50D9F"/>
    <w:rsid w:val="28CB65FE"/>
    <w:rsid w:val="2B345DDC"/>
    <w:rsid w:val="2B3F6439"/>
    <w:rsid w:val="2EC30E12"/>
    <w:rsid w:val="2F3D4D5E"/>
    <w:rsid w:val="328547DF"/>
    <w:rsid w:val="393B6D95"/>
    <w:rsid w:val="3BF6072F"/>
    <w:rsid w:val="3ED762EB"/>
    <w:rsid w:val="3EF508F9"/>
    <w:rsid w:val="40363D15"/>
    <w:rsid w:val="415F4103"/>
    <w:rsid w:val="421924BD"/>
    <w:rsid w:val="42D92A2D"/>
    <w:rsid w:val="43900BE6"/>
    <w:rsid w:val="43C43E33"/>
    <w:rsid w:val="44710F13"/>
    <w:rsid w:val="48382F58"/>
    <w:rsid w:val="4BEC2456"/>
    <w:rsid w:val="4C25644E"/>
    <w:rsid w:val="4DCC02FB"/>
    <w:rsid w:val="51616C2E"/>
    <w:rsid w:val="6A46254B"/>
    <w:rsid w:val="6C025177"/>
    <w:rsid w:val="6E505221"/>
    <w:rsid w:val="71135B3F"/>
    <w:rsid w:val="746C3735"/>
    <w:rsid w:val="74820D12"/>
    <w:rsid w:val="769F1E47"/>
    <w:rsid w:val="76D529BD"/>
    <w:rsid w:val="77242FBF"/>
    <w:rsid w:val="78EC72C3"/>
    <w:rsid w:val="7B330428"/>
    <w:rsid w:val="7BB04C77"/>
    <w:rsid w:val="7C685A6F"/>
    <w:rsid w:val="7C8A4E29"/>
    <w:rsid w:val="7DF8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qFormat="1"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宋体" w:asciiTheme="minorAscii" w:hAnsiTheme="minorAscii"/>
      <w:b/>
      <w:color w:val="000000" w:themeColor="text1"/>
      <w:kern w:val="44"/>
      <w:sz w:val="36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line="360" w:lineRule="auto"/>
      <w:ind w:firstLine="723" w:firstLineChars="200"/>
      <w:outlineLvl w:val="1"/>
    </w:pPr>
    <w:rPr>
      <w:rFonts w:eastAsia="宋体" w:asciiTheme="majorAscii" w:hAnsiTheme="majorAscii" w:cstheme="majorBidi"/>
      <w:bCs/>
      <w:sz w:val="28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360" w:lineRule="auto"/>
      <w:ind w:firstLine="723" w:firstLineChars="200"/>
      <w:outlineLvl w:val="2"/>
    </w:pPr>
    <w:rPr>
      <w:rFonts w:eastAsia="宋体" w:asciiTheme="minorAscii" w:hAnsiTheme="minorAscii"/>
      <w:sz w:val="28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360" w:lineRule="auto"/>
      <w:jc w:val="center"/>
      <w:outlineLvl w:val="3"/>
    </w:pPr>
    <w:rPr>
      <w:rFonts w:ascii="Arial" w:hAnsi="Arial" w:eastAsia="宋体"/>
      <w:sz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pPr>
      <w:spacing w:line="360" w:lineRule="auto"/>
      <w:jc w:val="right"/>
    </w:pPr>
    <w:rPr>
      <w:rFonts w:ascii="Arial" w:hAnsi="Arial" w:eastAsia="宋体"/>
    </w:rPr>
  </w:style>
  <w:style w:type="paragraph" w:styleId="7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8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nhideWhenUsed/>
    <w:qFormat/>
    <w:uiPriority w:val="39"/>
  </w:style>
  <w:style w:type="paragraph" w:styleId="13">
    <w:name w:val="toc 4"/>
    <w:basedOn w:val="1"/>
    <w:next w:val="1"/>
    <w:semiHidden/>
    <w:unhideWhenUsed/>
    <w:qFormat/>
    <w:uiPriority w:val="39"/>
    <w:pPr>
      <w:ind w:left="1260" w:leftChars="600"/>
    </w:pPr>
  </w:style>
  <w:style w:type="paragraph" w:styleId="14">
    <w:name w:val="table of figures"/>
    <w:basedOn w:val="1"/>
    <w:next w:val="1"/>
    <w:semiHidden/>
    <w:unhideWhenUsed/>
    <w:qFormat/>
    <w:uiPriority w:val="99"/>
    <w:pPr>
      <w:ind w:leftChars="200" w:hanging="200" w:hangingChars="200"/>
    </w:pPr>
  </w:style>
  <w:style w:type="paragraph" w:styleId="15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Emphasis"/>
    <w:basedOn w:val="18"/>
    <w:qFormat/>
    <w:uiPriority w:val="20"/>
    <w:rPr>
      <w:i/>
      <w:iCs/>
    </w:rPr>
  </w:style>
  <w:style w:type="character" w:customStyle="1" w:styleId="21">
    <w:name w:val="批注框文本 字符"/>
    <w:basedOn w:val="18"/>
    <w:link w:val="9"/>
    <w:semiHidden/>
    <w:qFormat/>
    <w:uiPriority w:val="99"/>
    <w:rPr>
      <w:sz w:val="18"/>
      <w:szCs w:val="18"/>
    </w:rPr>
  </w:style>
  <w:style w:type="character" w:customStyle="1" w:styleId="22">
    <w:name w:val="标题 2 字符"/>
    <w:basedOn w:val="18"/>
    <w:link w:val="3"/>
    <w:qFormat/>
    <w:uiPriority w:val="9"/>
    <w:rPr>
      <w:rFonts w:eastAsia="宋体" w:asciiTheme="majorAscii" w:hAnsiTheme="majorAscii" w:cstheme="majorBidi"/>
      <w:bCs/>
      <w:sz w:val="28"/>
      <w:szCs w:val="32"/>
    </w:rPr>
  </w:style>
  <w:style w:type="character" w:customStyle="1" w:styleId="23">
    <w:name w:val="日期 字符"/>
    <w:basedOn w:val="18"/>
    <w:link w:val="8"/>
    <w:semiHidden/>
    <w:qFormat/>
    <w:uiPriority w:val="99"/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页眉 字符"/>
    <w:basedOn w:val="18"/>
    <w:link w:val="11"/>
    <w:qFormat/>
    <w:uiPriority w:val="99"/>
    <w:rPr>
      <w:sz w:val="18"/>
      <w:szCs w:val="18"/>
    </w:rPr>
  </w:style>
  <w:style w:type="character" w:customStyle="1" w:styleId="26">
    <w:name w:val="页脚 字符"/>
    <w:basedOn w:val="18"/>
    <w:link w:val="10"/>
    <w:qFormat/>
    <w:uiPriority w:val="99"/>
    <w:rPr>
      <w:sz w:val="18"/>
      <w:szCs w:val="18"/>
    </w:rPr>
  </w:style>
  <w:style w:type="paragraph" w:customStyle="1" w:styleId="2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29">
    <w:name w:val="标题 1 Char"/>
    <w:link w:val="2"/>
    <w:qFormat/>
    <w:uiPriority w:val="9"/>
    <w:rPr>
      <w:rFonts w:eastAsia="宋体" w:asciiTheme="minorAscii" w:hAnsiTheme="minorAscii"/>
      <w:b/>
      <w:color w:val="000000" w:themeColor="text1"/>
      <w:kern w:val="44"/>
      <w:sz w:val="36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chart" Target="charts/chart9.xml"/><Relationship Id="rId17" Type="http://schemas.openxmlformats.org/officeDocument/2006/relationships/chart" Target="charts/chart8.xml"/><Relationship Id="rId16" Type="http://schemas.openxmlformats.org/officeDocument/2006/relationships/chart" Target="charts/chart7.xml"/><Relationship Id="rId15" Type="http://schemas.openxmlformats.org/officeDocument/2006/relationships/chart" Target="charts/chart6.xml"/><Relationship Id="rId14" Type="http://schemas.openxmlformats.org/officeDocument/2006/relationships/chart" Target="charts/chart5.xml"/><Relationship Id="rId13" Type="http://schemas.openxmlformats.org/officeDocument/2006/relationships/chart" Target="charts/chart4.xml"/><Relationship Id="rId12" Type="http://schemas.openxmlformats.org/officeDocument/2006/relationships/chart" Target="charts/chart3.xml"/><Relationship Id="rId11" Type="http://schemas.openxmlformats.org/officeDocument/2006/relationships/chart" Target="charts/chart2.xml"/><Relationship Id="rId10" Type="http://schemas.openxmlformats.org/officeDocument/2006/relationships/chart" Target="charts/chart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I:\02&#23601;&#19994;\04%20&#27605;&#19994;&#29983;&#23601;&#19994;&#36136;&#37327;&#25253;&#21578;\2024&#23626;&#27605;&#19994;&#29983;&#23601;&#19994;&#36136;&#37327;&#25253;&#21578;&#30456;&#20851;&#25968;&#25454;\&#27494;&#27721;&#31185;&#25216;&#32844;&#19994;&#23398;&#38498;2024&#23626;&#27605;&#19994;&#29983;&#33457;&#21517;&#20876;.et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I:\02&#23601;&#19994;\04%20&#27605;&#19994;&#29983;&#23601;&#19994;&#36136;&#37327;&#25253;&#21578;\2024&#23626;&#27605;&#19994;&#29983;&#23601;&#19994;&#36136;&#37327;&#25253;&#21578;&#30456;&#20851;&#25968;&#25454;\&#27494;&#27721;&#31185;&#25216;&#32844;&#19994;&#23398;&#38498;2024&#23626;&#27605;&#19994;&#29983;&#33457;&#21517;&#20876;.et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I:\02&#23601;&#19994;\04%20&#27605;&#19994;&#29983;&#23601;&#19994;&#36136;&#37327;&#25253;&#21578;\2024&#23626;&#27605;&#19994;&#29983;&#23601;&#19994;&#36136;&#37327;&#25253;&#21578;&#30456;&#20851;&#25968;&#25454;\&#27494;&#27721;&#31185;&#25216;&#32844;&#19994;&#23398;&#38498;2024&#23626;&#27605;&#19994;&#29983;&#33457;&#21517;&#20876;.et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D:\02&#23601;&#19994;\04%20&#27605;&#19994;&#29983;&#23601;&#19994;&#36136;&#37327;&#25253;&#21578;\2024&#23626;&#27605;&#19994;&#29983;&#23601;&#19994;&#36136;&#37327;&#25253;&#21578;&#30456;&#20851;&#25968;&#25454;\&#31532;&#19977;&#31456;%20&#27605;&#19994;&#29983;&#23601;&#19994;&#24773;&#20917;&#22270;&#34920;&#25968;&#25454;.xls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D:\02&#23601;&#19994;\04%20&#27605;&#19994;&#29983;&#23601;&#19994;&#36136;&#37327;&#25253;&#21578;\2024&#23626;&#27605;&#19994;&#29983;&#23601;&#19994;&#36136;&#37327;&#25253;&#21578;&#30456;&#20851;&#25968;&#25454;\2024&#23626;&#27605;&#19994;&#29983;&#26410;&#23601;&#19994;&#21517;&#21333;&#65288;20241014&#65289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D:\02&#23601;&#19994;\04%20&#27605;&#19994;&#29983;&#23601;&#19994;&#36136;&#37327;&#25253;&#21578;\2024&#23626;&#27605;&#19994;&#29983;&#23601;&#19994;&#36136;&#37327;&#25253;&#21578;&#30456;&#20851;&#25968;&#25454;\01-2024&#23626;&#23601;&#19994;&#24180;&#25253;%20&#22270;&#34920;&#25968;&#25454;.xls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D:\02&#23601;&#19994;\04%20&#27605;&#19994;&#29983;&#23601;&#19994;&#36136;&#37327;&#25253;&#21578;\2024&#23626;&#27605;&#19994;&#29983;&#23601;&#19994;&#36136;&#37327;&#25253;&#21578;&#30456;&#20851;&#25968;&#25454;\&#31532;&#19977;&#31456;%20&#27605;&#19994;&#29983;&#23601;&#19994;&#24773;&#20917;&#22270;&#34920;&#25968;&#25454;.xls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D:\02&#23601;&#19994;\04%20&#27605;&#19994;&#29983;&#23601;&#19994;&#36136;&#37327;&#25253;&#21578;\2024&#23626;&#27605;&#19994;&#29983;&#23601;&#19994;&#36136;&#37327;&#25253;&#21578;&#30456;&#20851;&#25968;&#25454;\&#27494;&#27721;&#31185;&#25216;&#32844;&#19994;&#23398;&#38498;2024&#23626;&#27605;&#19994;&#29983;&#23601;&#19994;&#28385;&#24847;&#24230;&#35843;&#26597;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oleObject" Target="file:///D:\02&#23601;&#19994;\04%20&#27605;&#19994;&#29983;&#23601;&#19994;&#36136;&#37327;&#25253;&#21578;\2024&#23626;&#27605;&#19994;&#29983;&#23601;&#19994;&#36136;&#37327;&#25253;&#21578;&#30456;&#20851;&#25968;&#25454;\&#27494;&#27721;&#31185;&#25216;&#32844;&#19994;&#23398;&#38498;2024&#23626;&#27605;&#19994;&#29983;&#23601;&#19994;&#28385;&#24847;&#24230;&#35843;&#2659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t>武汉科技职业学院</a:t>
            </a:r>
            <a:r>
              <a:rPr lang="en-US" altLang="zh-CN"/>
              <a:t>2024</a:t>
            </a:r>
            <a:r>
              <a:rPr altLang="en-US"/>
              <a:t>届毕业生性别分布</a:t>
            </a:r>
            <a:endParaRPr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doughnutChart>
        <c:varyColors val="1"/>
        <c:ser>
          <c:idx val="0"/>
          <c:order val="0"/>
          <c:tx>
            <c:strRef>
              <c:f>[武汉科技职业学院2024届毕业生花名册.et]Sheet2!$B$1</c:f>
              <c:strCache>
                <c:ptCount val="1"/>
                <c:pt idx="0">
                  <c:v>结构比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2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[武汉科技职业学院2024届毕业生花名册.et]Sheet2!$A$2:$A$3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[武汉科技职业学院2024届毕业生花名册.et]Sheet2!$B$2:$B$3</c:f>
              <c:numCache>
                <c:formatCode>0.00%</c:formatCode>
                <c:ptCount val="2"/>
                <c:pt idx="0">
                  <c:v>0.808163265306122</c:v>
                </c:pt>
                <c:pt idx="1">
                  <c:v>0.191836734693878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191"/>
        <c:holeSize val="60"/>
      </c:doughnut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a9f215d7-ddbf-4b19-850f-c5ab4a85f276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武汉科技职业学院2024届毕业生的生源地分布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[武汉科技职业学院2024届毕业生花名册.et]Sheet7!$B$1</c:f>
              <c:strCache>
                <c:ptCount val="1"/>
                <c:pt idx="0">
                  <c:v>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[武汉科技职业学院2024届毕业生花名册.et]Sheet7!$A$2:$A$16</c:f>
              <c:strCache>
                <c:ptCount val="15"/>
                <c:pt idx="0">
                  <c:v>湖北</c:v>
                </c:pt>
                <c:pt idx="1">
                  <c:v>安徽</c:v>
                </c:pt>
                <c:pt idx="2">
                  <c:v>江西</c:v>
                </c:pt>
                <c:pt idx="3">
                  <c:v>河南</c:v>
                </c:pt>
                <c:pt idx="4">
                  <c:v>贵州</c:v>
                </c:pt>
                <c:pt idx="5">
                  <c:v>重庆</c:v>
                </c:pt>
                <c:pt idx="6">
                  <c:v>广西</c:v>
                </c:pt>
                <c:pt idx="7">
                  <c:v>广东</c:v>
                </c:pt>
                <c:pt idx="8">
                  <c:v>江苏</c:v>
                </c:pt>
                <c:pt idx="9">
                  <c:v>福建</c:v>
                </c:pt>
                <c:pt idx="10">
                  <c:v>四川</c:v>
                </c:pt>
                <c:pt idx="11">
                  <c:v>浙江</c:v>
                </c:pt>
                <c:pt idx="12">
                  <c:v>甘肃</c:v>
                </c:pt>
                <c:pt idx="13">
                  <c:v>湖南</c:v>
                </c:pt>
                <c:pt idx="14">
                  <c:v>陕西</c:v>
                </c:pt>
              </c:strCache>
            </c:strRef>
          </c:cat>
          <c:val>
            <c:numRef>
              <c:f>[武汉科技职业学院2024届毕业生花名册.et]Sheet7!$B$2:$B$16</c:f>
              <c:numCache>
                <c:formatCode>General</c:formatCode>
                <c:ptCount val="15"/>
                <c:pt idx="0">
                  <c:v>635</c:v>
                </c:pt>
                <c:pt idx="1">
                  <c:v>29</c:v>
                </c:pt>
                <c:pt idx="2">
                  <c:v>26</c:v>
                </c:pt>
                <c:pt idx="3">
                  <c:v>14</c:v>
                </c:pt>
                <c:pt idx="4">
                  <c:v>6</c:v>
                </c:pt>
                <c:pt idx="5">
                  <c:v>6</c:v>
                </c:pt>
                <c:pt idx="6">
                  <c:v>4</c:v>
                </c:pt>
                <c:pt idx="7">
                  <c:v>3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</c:ser>
        <c:ser>
          <c:idx val="1"/>
          <c:order val="1"/>
          <c:tx>
            <c:strRef>
              <c:f>[武汉科技职业学院2024届毕业生花名册.et]Sheet7!$C$1</c:f>
              <c:strCache>
                <c:ptCount val="1"/>
                <c:pt idx="0">
                  <c:v>结构比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[武汉科技职业学院2024届毕业生花名册.et]Sheet7!$A$2:$A$16</c:f>
              <c:strCache>
                <c:ptCount val="15"/>
                <c:pt idx="0">
                  <c:v>湖北</c:v>
                </c:pt>
                <c:pt idx="1">
                  <c:v>安徽</c:v>
                </c:pt>
                <c:pt idx="2">
                  <c:v>江西</c:v>
                </c:pt>
                <c:pt idx="3">
                  <c:v>河南</c:v>
                </c:pt>
                <c:pt idx="4">
                  <c:v>贵州</c:v>
                </c:pt>
                <c:pt idx="5">
                  <c:v>重庆</c:v>
                </c:pt>
                <c:pt idx="6">
                  <c:v>广西</c:v>
                </c:pt>
                <c:pt idx="7">
                  <c:v>广东</c:v>
                </c:pt>
                <c:pt idx="8">
                  <c:v>江苏</c:v>
                </c:pt>
                <c:pt idx="9">
                  <c:v>福建</c:v>
                </c:pt>
                <c:pt idx="10">
                  <c:v>四川</c:v>
                </c:pt>
                <c:pt idx="11">
                  <c:v>浙江</c:v>
                </c:pt>
                <c:pt idx="12">
                  <c:v>甘肃</c:v>
                </c:pt>
                <c:pt idx="13">
                  <c:v>湖南</c:v>
                </c:pt>
                <c:pt idx="14">
                  <c:v>陕西</c:v>
                </c:pt>
              </c:strCache>
            </c:strRef>
          </c:cat>
          <c:val>
            <c:numRef>
              <c:f>[武汉科技职业学院2024届毕业生花名册.et]Sheet7!$C$2:$C$16</c:f>
              <c:numCache>
                <c:formatCode>0.00%</c:formatCode>
                <c:ptCount val="15"/>
                <c:pt idx="0">
                  <c:v>0.863945578231292</c:v>
                </c:pt>
                <c:pt idx="1">
                  <c:v>0.0394557823129252</c:v>
                </c:pt>
                <c:pt idx="2">
                  <c:v>0.0353741496598639</c:v>
                </c:pt>
                <c:pt idx="3">
                  <c:v>0.019047619047619</c:v>
                </c:pt>
                <c:pt idx="4">
                  <c:v>0.00816326530612245</c:v>
                </c:pt>
                <c:pt idx="5">
                  <c:v>0.00816326530612245</c:v>
                </c:pt>
                <c:pt idx="6">
                  <c:v>0.0054421768707483</c:v>
                </c:pt>
                <c:pt idx="7">
                  <c:v>0.00408163265306122</c:v>
                </c:pt>
                <c:pt idx="8">
                  <c:v>0.00408163265306122</c:v>
                </c:pt>
                <c:pt idx="9">
                  <c:v>0.00272108843537415</c:v>
                </c:pt>
                <c:pt idx="10">
                  <c:v>0.00272108843537415</c:v>
                </c:pt>
                <c:pt idx="11">
                  <c:v>0.00272108843537415</c:v>
                </c:pt>
                <c:pt idx="12">
                  <c:v>0.00136054421768707</c:v>
                </c:pt>
                <c:pt idx="13">
                  <c:v>0.00136054421768707</c:v>
                </c:pt>
                <c:pt idx="14">
                  <c:v>0.00136054421768707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647432409"/>
        <c:axId val="238138945"/>
      </c:barChart>
      <c:catAx>
        <c:axId val="64743240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38138945"/>
        <c:crosses val="autoZero"/>
        <c:auto val="1"/>
        <c:lblAlgn val="ctr"/>
        <c:lblOffset val="100"/>
        <c:noMultiLvlLbl val="0"/>
      </c:catAx>
      <c:valAx>
        <c:axId val="23813894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4743240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e3815c29-646b-4eba-a5b3-359a9ed90ac4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武汉科技职业学院2024届毕业生民族占比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[武汉科技职业学院2024届毕业生花名册.et]Sheet8!$B$1</c:f>
              <c:strCache>
                <c:ptCount val="1"/>
                <c:pt idx="0">
                  <c:v>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[武汉科技职业学院2024届毕业生花名册.et]Sheet8!$A$2:$A$5</c:f>
              <c:strCache>
                <c:ptCount val="4"/>
                <c:pt idx="0">
                  <c:v>汉族</c:v>
                </c:pt>
                <c:pt idx="1">
                  <c:v>土家族</c:v>
                </c:pt>
                <c:pt idx="2">
                  <c:v>侗族</c:v>
                </c:pt>
                <c:pt idx="3">
                  <c:v>壮族</c:v>
                </c:pt>
              </c:strCache>
            </c:strRef>
          </c:cat>
          <c:val>
            <c:numRef>
              <c:f>[武汉科技职业学院2024届毕业生花名册.et]Sheet8!$B$2:$B$5</c:f>
              <c:numCache>
                <c:formatCode>General</c:formatCode>
                <c:ptCount val="4"/>
                <c:pt idx="0">
                  <c:v>722</c:v>
                </c:pt>
                <c:pt idx="1">
                  <c:v>11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[武汉科技职业学院2024届毕业生花名册.et]Sheet8!$C$1</c:f>
              <c:strCache>
                <c:ptCount val="1"/>
                <c:pt idx="0">
                  <c:v>结构比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[武汉科技职业学院2024届毕业生花名册.et]Sheet8!$A$2:$A$5</c:f>
              <c:strCache>
                <c:ptCount val="4"/>
                <c:pt idx="0">
                  <c:v>汉族</c:v>
                </c:pt>
                <c:pt idx="1">
                  <c:v>土家族</c:v>
                </c:pt>
                <c:pt idx="2">
                  <c:v>侗族</c:v>
                </c:pt>
                <c:pt idx="3">
                  <c:v>壮族</c:v>
                </c:pt>
              </c:strCache>
            </c:strRef>
          </c:cat>
          <c:val>
            <c:numRef>
              <c:f>[武汉科技职业学院2024届毕业生花名册.et]Sheet8!$C$2:$C$5</c:f>
              <c:numCache>
                <c:formatCode>0.00%</c:formatCode>
                <c:ptCount val="4"/>
                <c:pt idx="0">
                  <c:v>0.982312925170068</c:v>
                </c:pt>
                <c:pt idx="1">
                  <c:v>0.0149659863945578</c:v>
                </c:pt>
                <c:pt idx="2">
                  <c:v>0.00136054421768707</c:v>
                </c:pt>
                <c:pt idx="3">
                  <c:v>0.00136054421768707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845390215"/>
        <c:axId val="838405171"/>
      </c:barChart>
      <c:catAx>
        <c:axId val="8453902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38405171"/>
        <c:crosses val="autoZero"/>
        <c:auto val="1"/>
        <c:lblAlgn val="ctr"/>
        <c:lblOffset val="100"/>
        <c:noMultiLvlLbl val="0"/>
      </c:catAx>
      <c:valAx>
        <c:axId val="8384051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5390215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f5f2aa70-5d4c-4d0c-8283-f4206157e437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武汉科技职业学院2024届毕业生就业率构成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'[第三章 毕业生就业情况图表数据.xls]图4 就业率构成'!$B$1</c:f>
              <c:strCache>
                <c:ptCount val="1"/>
                <c:pt idx="0">
                  <c:v>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'[第三章 毕业生就业情况图表数据.xls]图4 就业率构成'!$A$2:$A$5</c:f>
              <c:strCache>
                <c:ptCount val="4"/>
                <c:pt idx="0">
                  <c:v>升学</c:v>
                </c:pt>
                <c:pt idx="1">
                  <c:v>协议就业</c:v>
                </c:pt>
                <c:pt idx="2">
                  <c:v>灵活就业</c:v>
                </c:pt>
                <c:pt idx="3">
                  <c:v>自主创业</c:v>
                </c:pt>
              </c:strCache>
            </c:strRef>
          </c:cat>
          <c:val>
            <c:numRef>
              <c:f>'[第三章 毕业生就业情况图表数据.xls]图4 就业率构成'!$B$2:$B$5</c:f>
              <c:numCache>
                <c:formatCode>General</c:formatCode>
                <c:ptCount val="4"/>
                <c:pt idx="0">
                  <c:v>57</c:v>
                </c:pt>
                <c:pt idx="1">
                  <c:v>545</c:v>
                </c:pt>
                <c:pt idx="2">
                  <c:v>28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'[第三章 毕业生就业情况图表数据.xls]图4 就业率构成'!$C$1</c:f>
              <c:strCache>
                <c:ptCount val="1"/>
                <c:pt idx="0">
                  <c:v>结构比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'[第三章 毕业生就业情况图表数据.xls]图4 就业率构成'!$A$2:$A$5</c:f>
              <c:strCache>
                <c:ptCount val="4"/>
                <c:pt idx="0">
                  <c:v>升学</c:v>
                </c:pt>
                <c:pt idx="1">
                  <c:v>协议就业</c:v>
                </c:pt>
                <c:pt idx="2">
                  <c:v>灵活就业</c:v>
                </c:pt>
                <c:pt idx="3">
                  <c:v>自主创业</c:v>
                </c:pt>
              </c:strCache>
            </c:strRef>
          </c:cat>
          <c:val>
            <c:numRef>
              <c:f>'[第三章 毕业生就业情况图表数据.xls]图4 就业率构成'!$C$2:$C$5</c:f>
              <c:numCache>
                <c:formatCode>0.00%</c:formatCode>
                <c:ptCount val="4"/>
                <c:pt idx="0">
                  <c:v>0.0775510204081633</c:v>
                </c:pt>
                <c:pt idx="1">
                  <c:v>0.741496598639456</c:v>
                </c:pt>
                <c:pt idx="2">
                  <c:v>0.0380952380952381</c:v>
                </c:pt>
                <c:pt idx="3">
                  <c:v>0.00136054421768707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505857570"/>
        <c:axId val="764232225"/>
      </c:barChart>
      <c:catAx>
        <c:axId val="50585757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4232225"/>
        <c:crosses val="autoZero"/>
        <c:auto val="1"/>
        <c:lblAlgn val="ctr"/>
        <c:lblOffset val="100"/>
        <c:noMultiLvlLbl val="0"/>
      </c:catAx>
      <c:valAx>
        <c:axId val="76423222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0585757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d7202c0f-8133-4251-905b-04c032f39a5d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武汉科技职业学院202</a:t>
            </a:r>
            <a:r>
              <a:rPr lang="en-US" altLang="zh-CN"/>
              <a:t>4</a:t>
            </a:r>
            <a:r>
              <a:t>届毕业生未就业调查统计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'[2024届毕业生未就业名单（20241014）.xlsx]Sheet1'!$B$14</c:f>
              <c:strCache>
                <c:ptCount val="1"/>
                <c:pt idx="0">
                  <c:v>计数项:未就业原因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'[2024届毕业生未就业名单（20241014）.xlsx]Sheet1'!$A$15:$A$18</c:f>
              <c:strCache>
                <c:ptCount val="4"/>
                <c:pt idx="0">
                  <c:v>求职中</c:v>
                </c:pt>
                <c:pt idx="1">
                  <c:v>自由职业</c:v>
                </c:pt>
                <c:pt idx="2">
                  <c:v>入伍</c:v>
                </c:pt>
                <c:pt idx="3">
                  <c:v>出国</c:v>
                </c:pt>
              </c:strCache>
            </c:strRef>
          </c:cat>
          <c:val>
            <c:numRef>
              <c:f>'[2024届毕业生未就业名单（20241014）.xlsx]Sheet1'!$B$15:$B$18</c:f>
              <c:numCache>
                <c:formatCode>General</c:formatCode>
                <c:ptCount val="4"/>
                <c:pt idx="0">
                  <c:v>76</c:v>
                </c:pt>
                <c:pt idx="1">
                  <c:v>26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826470761"/>
        <c:axId val="682129221"/>
      </c:barChart>
      <c:catAx>
        <c:axId val="82647076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82129221"/>
        <c:crosses val="autoZero"/>
        <c:auto val="1"/>
        <c:lblAlgn val="ctr"/>
        <c:lblOffset val="100"/>
        <c:noMultiLvlLbl val="0"/>
      </c:catAx>
      <c:valAx>
        <c:axId val="68212922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2647076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31ab93cc-4d74-44d5-b51b-c84c703c7a51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武汉科技职业学院2024 届毕业生就业区域分布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'[01-2024届就业年报 图表数据.xls]图6 毕业生就业区域分布'!$F$4</c:f>
              <c:strCache>
                <c:ptCount val="1"/>
                <c:pt idx="0">
                  <c:v>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'[01-2024届就业年报 图表数据.xls]图6 毕业生就业区域分布'!$E$5:$E$28</c:f>
              <c:strCache>
                <c:ptCount val="24"/>
                <c:pt idx="0">
                  <c:v>湖北</c:v>
                </c:pt>
                <c:pt idx="1">
                  <c:v>广东</c:v>
                </c:pt>
                <c:pt idx="2">
                  <c:v>江苏</c:v>
                </c:pt>
                <c:pt idx="3">
                  <c:v>浙江</c:v>
                </c:pt>
                <c:pt idx="4">
                  <c:v>安徽</c:v>
                </c:pt>
                <c:pt idx="5">
                  <c:v>河南</c:v>
                </c:pt>
                <c:pt idx="6">
                  <c:v>上海</c:v>
                </c:pt>
                <c:pt idx="7">
                  <c:v>江西</c:v>
                </c:pt>
                <c:pt idx="8">
                  <c:v>湖南</c:v>
                </c:pt>
                <c:pt idx="9">
                  <c:v>北京</c:v>
                </c:pt>
                <c:pt idx="10">
                  <c:v>贵州</c:v>
                </c:pt>
                <c:pt idx="11">
                  <c:v>陕西</c:v>
                </c:pt>
                <c:pt idx="12">
                  <c:v>福建</c:v>
                </c:pt>
                <c:pt idx="13">
                  <c:v>广西</c:v>
                </c:pt>
                <c:pt idx="14">
                  <c:v>河北</c:v>
                </c:pt>
                <c:pt idx="15">
                  <c:v>山西</c:v>
                </c:pt>
                <c:pt idx="16">
                  <c:v>四川</c:v>
                </c:pt>
                <c:pt idx="17">
                  <c:v>重庆</c:v>
                </c:pt>
                <c:pt idx="18">
                  <c:v>甘肃</c:v>
                </c:pt>
                <c:pt idx="19">
                  <c:v>海南</c:v>
                </c:pt>
                <c:pt idx="20">
                  <c:v>辽宁</c:v>
                </c:pt>
                <c:pt idx="21">
                  <c:v>天津</c:v>
                </c:pt>
                <c:pt idx="22">
                  <c:v>新疆</c:v>
                </c:pt>
                <c:pt idx="23">
                  <c:v>云南</c:v>
                </c:pt>
              </c:strCache>
            </c:strRef>
          </c:cat>
          <c:val>
            <c:numRef>
              <c:f>'[01-2024届就业年报 图表数据.xls]图6 毕业生就业区域分布'!$F$5:$F$28</c:f>
              <c:numCache>
                <c:formatCode>General</c:formatCode>
                <c:ptCount val="24"/>
                <c:pt idx="0">
                  <c:v>466</c:v>
                </c:pt>
                <c:pt idx="1">
                  <c:v>43</c:v>
                </c:pt>
                <c:pt idx="2">
                  <c:v>21</c:v>
                </c:pt>
                <c:pt idx="3">
                  <c:v>20</c:v>
                </c:pt>
                <c:pt idx="4">
                  <c:v>15</c:v>
                </c:pt>
                <c:pt idx="5">
                  <c:v>11</c:v>
                </c:pt>
                <c:pt idx="6">
                  <c:v>10</c:v>
                </c:pt>
                <c:pt idx="7">
                  <c:v>8</c:v>
                </c:pt>
                <c:pt idx="8">
                  <c:v>6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3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2</c:v>
                </c:pt>
                <c:pt idx="17">
                  <c:v>2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768131308"/>
        <c:axId val="418391120"/>
      </c:barChart>
      <c:catAx>
        <c:axId val="76813130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18391120"/>
        <c:crosses val="autoZero"/>
        <c:auto val="1"/>
        <c:lblAlgn val="ctr"/>
        <c:lblOffset val="100"/>
        <c:noMultiLvlLbl val="0"/>
      </c:catAx>
      <c:valAx>
        <c:axId val="418391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81313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22ada417-dcd6-4a0a-9937-4d8d231270e7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武汉科技职业学院202</a:t>
            </a:r>
            <a:r>
              <a:rPr lang="en-US" altLang="zh-CN"/>
              <a:t>4</a:t>
            </a:r>
            <a:r>
              <a:t>届毕业生就业单位性质分布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'[第三章 毕业生就业情况图表数据.xls]图7 就业单位性质分布'!$F$4</c:f>
              <c:strCache>
                <c:ptCount val="1"/>
                <c:pt idx="0">
                  <c:v>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'[第三章 毕业生就业情况图表数据.xls]图7 就业单位性质分布'!$E$5:$E$15</c:f>
              <c:strCache>
                <c:ptCount val="11"/>
                <c:pt idx="0">
                  <c:v>升学</c:v>
                </c:pt>
                <c:pt idx="1">
                  <c:v>其他企业</c:v>
                </c:pt>
                <c:pt idx="2">
                  <c:v>部队</c:v>
                </c:pt>
                <c:pt idx="3">
                  <c:v>个体工商户</c:v>
                </c:pt>
                <c:pt idx="4">
                  <c:v>其他事业单位</c:v>
                </c:pt>
                <c:pt idx="5">
                  <c:v>机关</c:v>
                </c:pt>
                <c:pt idx="6">
                  <c:v>高等教育单位</c:v>
                </c:pt>
                <c:pt idx="7">
                  <c:v>国有企业</c:v>
                </c:pt>
                <c:pt idx="8">
                  <c:v>自由职业</c:v>
                </c:pt>
                <c:pt idx="9">
                  <c:v>自主创业</c:v>
                </c:pt>
                <c:pt idx="10">
                  <c:v>外商投资企业</c:v>
                </c:pt>
              </c:strCache>
            </c:strRef>
          </c:cat>
          <c:val>
            <c:numRef>
              <c:f>'[第三章 毕业生就业情况图表数据.xls]图7 就业单位性质分布'!$F$5:$F$15</c:f>
              <c:numCache>
                <c:formatCode>General</c:formatCode>
                <c:ptCount val="11"/>
                <c:pt idx="0">
                  <c:v>57</c:v>
                </c:pt>
                <c:pt idx="1">
                  <c:v>491</c:v>
                </c:pt>
                <c:pt idx="2">
                  <c:v>37</c:v>
                </c:pt>
                <c:pt idx="3">
                  <c:v>25</c:v>
                </c:pt>
                <c:pt idx="4">
                  <c:v>8</c:v>
                </c:pt>
                <c:pt idx="5">
                  <c:v>4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0"/>
        <c:axId val="399963898"/>
        <c:axId val="160932021"/>
      </c:barChart>
      <c:catAx>
        <c:axId val="39996389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0932021"/>
        <c:crosses val="autoZero"/>
        <c:auto val="1"/>
        <c:lblAlgn val="ctr"/>
        <c:lblOffset val="100"/>
        <c:noMultiLvlLbl val="0"/>
      </c:catAx>
      <c:valAx>
        <c:axId val="16093202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9996389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b4ff0688-eee7-4158-8cda-49d4cfe0246f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武汉科技职业学院202</a:t>
            </a:r>
            <a:r>
              <a:rPr lang="en-US" altLang="zh-CN"/>
              <a:t>4</a:t>
            </a:r>
            <a:r>
              <a:t>届毕业生收入水平调查</a:t>
            </a:r>
          </a:p>
        </c:rich>
      </c:tx>
      <c:layout>
        <c:manualLayout>
          <c:xMode val="edge"/>
          <c:yMode val="edge"/>
          <c:x val="0.193157894736842"/>
          <c:y val="0.02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25279429250892"/>
          <c:y val="0.212332942555686"/>
          <c:w val="0.341117717003567"/>
          <c:h val="0.67263774912075"/>
        </c:manualLayout>
      </c:layout>
      <c:pieChart>
        <c:varyColors val="1"/>
        <c:ser>
          <c:idx val="0"/>
          <c:order val="0"/>
          <c:tx>
            <c:strRef>
              <c:f>'[武汉科技职业学院2024届毕业生就业满意度调查.xlsx]图8 毕业生收入水平'!$E$3</c:f>
              <c:strCache>
                <c:ptCount val="1"/>
                <c:pt idx="0">
                  <c:v>人数</c:v>
                </c:pt>
              </c:strCache>
            </c:strRef>
          </c:tx>
          <c:spPr/>
          <c:explosion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'[武汉科技职业学院2024届毕业生就业满意度调查.xlsx]图8 毕业生收入水平'!$D$4:$D$7</c:f>
              <c:strCache>
                <c:ptCount val="4"/>
                <c:pt idx="0">
                  <c:v>3000元以下</c:v>
                </c:pt>
                <c:pt idx="1">
                  <c:v>3000-5000元</c:v>
                </c:pt>
                <c:pt idx="2">
                  <c:v>5000-8000元</c:v>
                </c:pt>
                <c:pt idx="3">
                  <c:v>8000元以上</c:v>
                </c:pt>
              </c:strCache>
            </c:strRef>
          </c:cat>
          <c:val>
            <c:numRef>
              <c:f>'[武汉科技职业学院2024届毕业生就业满意度调查.xlsx]图8 毕业生收入水平'!$E$4:$E$7</c:f>
            </c:numRef>
          </c:val>
        </c:ser>
        <c:ser>
          <c:idx val="1"/>
          <c:order val="1"/>
          <c:tx>
            <c:strRef>
              <c:f>'[武汉科技职业学院2024届毕业生就业满意度调查.xlsx]图8 毕业生收入水平'!$F$3</c:f>
              <c:strCache>
                <c:ptCount val="1"/>
                <c:pt idx="0">
                  <c:v>人数</c:v>
                </c:pt>
              </c:strCache>
            </c:strRef>
          </c:tx>
          <c:spPr/>
          <c:explosion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'[武汉科技职业学院2024届毕业生就业满意度调查.xlsx]图8 毕业生收入水平'!$D$4:$D$7</c:f>
              <c:strCache>
                <c:ptCount val="4"/>
                <c:pt idx="0">
                  <c:v>3000元以下</c:v>
                </c:pt>
                <c:pt idx="1">
                  <c:v>3000-5000元</c:v>
                </c:pt>
                <c:pt idx="2">
                  <c:v>5000-8000元</c:v>
                </c:pt>
                <c:pt idx="3">
                  <c:v>8000元以上</c:v>
                </c:pt>
              </c:strCache>
            </c:strRef>
          </c:cat>
          <c:val>
            <c:numRef>
              <c:f>'[武汉科技职业学院2024届毕业生就业满意度调查.xlsx]图8 毕业生收入水平'!$F$4:$F$7</c:f>
            </c:numRef>
          </c:val>
        </c:ser>
        <c:ser>
          <c:idx val="2"/>
          <c:order val="2"/>
          <c:tx>
            <c:strRef>
              <c:f>'[武汉科技职业学院2024届毕业生就业满意度调查.xlsx]图8 毕业生收入水平'!$G$3</c:f>
              <c:strCache>
                <c:ptCount val="1"/>
                <c:pt idx="0">
                  <c:v>结构比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3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'[武汉科技职业学院2024届毕业生就业满意度调查.xlsx]图8 毕业生收入水平'!$D$4:$D$7</c:f>
              <c:strCache>
                <c:ptCount val="4"/>
                <c:pt idx="0">
                  <c:v>3000元以下</c:v>
                </c:pt>
                <c:pt idx="1">
                  <c:v>3000-5000元</c:v>
                </c:pt>
                <c:pt idx="2">
                  <c:v>5000-8000元</c:v>
                </c:pt>
                <c:pt idx="3">
                  <c:v>8000元以上</c:v>
                </c:pt>
              </c:strCache>
            </c:strRef>
          </c:cat>
          <c:val>
            <c:numRef>
              <c:f>'[武汉科技职业学院2024届毕业生就业满意度调查.xlsx]图8 毕业生收入水平'!$G$4:$G$7</c:f>
              <c:numCache>
                <c:formatCode>0.00%</c:formatCode>
                <c:ptCount val="4"/>
                <c:pt idx="0">
                  <c:v>0.192982456140351</c:v>
                </c:pt>
                <c:pt idx="1">
                  <c:v>0.43859649122807</c:v>
                </c:pt>
                <c:pt idx="2">
                  <c:v>0.228070175438596</c:v>
                </c:pt>
                <c:pt idx="3">
                  <c:v>0.140350877192982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2a3d13ae-6332-43ac-b501-564a0f1cc262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t>武汉科技职业学院2024届毕业生</a:t>
            </a:r>
          </a:p>
          <a:p>
            <a:pPr>
              <a:defRPr lang="zh-CN"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t>就业满意度调查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'[武汉科技职业学院2024届毕业生就业满意度调查.xlsx]图9 就业满意度'!$B$11</c:f>
              <c:strCache>
                <c:ptCount val="1"/>
                <c:pt idx="0">
                  <c:v>占比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1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'[武汉科技职业学院2024届毕业生就业满意度调查.xlsx]图9 就业满意度'!$A$12:$A$14</c:f>
              <c:strCache>
                <c:ptCount val="3"/>
                <c:pt idx="0">
                  <c:v>不满意</c:v>
                </c:pt>
                <c:pt idx="1">
                  <c:v>满意</c:v>
                </c:pt>
                <c:pt idx="2">
                  <c:v>一般</c:v>
                </c:pt>
              </c:strCache>
            </c:strRef>
          </c:cat>
          <c:val>
            <c:numRef>
              <c:f>'[武汉科技职业学院2024届毕业生就业满意度调查.xlsx]图9 就业满意度'!$B$12:$B$14</c:f>
              <c:numCache>
                <c:formatCode>0.00%</c:formatCode>
                <c:ptCount val="3"/>
                <c:pt idx="0">
                  <c:v>0.0350877192982456</c:v>
                </c:pt>
                <c:pt idx="1">
                  <c:v>0.649122807017544</c:v>
                </c:pt>
                <c:pt idx="2">
                  <c:v>0.315789473684211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344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6eef68c7-32db-48bc-a803-e2757378eba4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1008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5979</Words>
  <Characters>6508</Characters>
  <Lines>29</Lines>
  <Paragraphs>8</Paragraphs>
  <TotalTime>24</TotalTime>
  <ScaleCrop>false</ScaleCrop>
  <LinksUpToDate>false</LinksUpToDate>
  <CharactersWithSpaces>6632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2019-10-23T03:38:00Z</dcterms:created>
  <dc:creator>S</dc:creator>
  <cp:lastModifiedBy>芜虞不吃鱼</cp:lastModifiedBy>
  <cp:lastPrinted>2024-11-13T06:00:32Z</cp:lastPrinted>
  <dcterms:modified xsi:type="dcterms:W3CDTF">2024-11-13T06:08:08Z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7084AD4B5A5D468B9E375AEC7E707D6C_13</vt:lpwstr>
  </property>
</Properties>
</file>